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eastAsia="方正小标宋_GBK"/>
          <w:spacing w:val="-8"/>
          <w:sz w:val="52"/>
          <w:szCs w:val="52"/>
        </w:rPr>
      </w:pPr>
    </w:p>
    <w:p>
      <w:pPr>
        <w:jc w:val="center"/>
        <w:rPr>
          <w:rFonts w:ascii="方正小标宋_GBK" w:eastAsia="方正小标宋_GBK"/>
          <w:spacing w:val="-8"/>
          <w:sz w:val="52"/>
          <w:szCs w:val="52"/>
        </w:rPr>
      </w:pPr>
    </w:p>
    <w:p>
      <w:pPr>
        <w:jc w:val="center"/>
        <w:rPr>
          <w:rFonts w:ascii="方正小标宋_GBK" w:eastAsia="方正小标宋_GBK"/>
          <w:spacing w:val="-8"/>
          <w:sz w:val="52"/>
          <w:szCs w:val="52"/>
        </w:rPr>
      </w:pPr>
    </w:p>
    <w:p>
      <w:pPr>
        <w:jc w:val="center"/>
        <w:rPr>
          <w:rFonts w:ascii="方正小标宋_GBK" w:eastAsia="方正小标宋_GBK"/>
          <w:spacing w:val="-8"/>
          <w:sz w:val="52"/>
          <w:szCs w:val="52"/>
        </w:rPr>
      </w:pPr>
      <w:r>
        <w:rPr>
          <w:rFonts w:hint="eastAsia" w:ascii="方正小标宋_GBK" w:eastAsia="方正小标宋_GBK"/>
          <w:spacing w:val="-8"/>
          <w:sz w:val="52"/>
          <w:szCs w:val="52"/>
        </w:rPr>
        <w:t>邢台市部门工作活动</w:t>
      </w:r>
      <w:r>
        <w:rPr>
          <w:rFonts w:ascii="方正小标宋_GBK" w:eastAsia="方正小标宋_GBK"/>
          <w:spacing w:val="-8"/>
          <w:sz w:val="52"/>
          <w:szCs w:val="52"/>
        </w:rPr>
        <w:t>(</w:t>
      </w:r>
      <w:r>
        <w:rPr>
          <w:rFonts w:hint="eastAsia" w:ascii="方正小标宋_GBK" w:eastAsia="方正小标宋_GBK"/>
          <w:spacing w:val="-8"/>
          <w:sz w:val="52"/>
          <w:szCs w:val="52"/>
        </w:rPr>
        <w:t>项目</w:t>
      </w:r>
      <w:r>
        <w:rPr>
          <w:rFonts w:ascii="方正小标宋_GBK" w:eastAsia="方正小标宋_GBK"/>
          <w:spacing w:val="-8"/>
          <w:sz w:val="52"/>
          <w:szCs w:val="52"/>
        </w:rPr>
        <w:t>)</w:t>
      </w:r>
    </w:p>
    <w:p>
      <w:pPr>
        <w:jc w:val="center"/>
        <w:rPr>
          <w:rFonts w:ascii="方正小标宋_GBK" w:eastAsia="方正小标宋_GBK"/>
          <w:spacing w:val="-8"/>
          <w:sz w:val="52"/>
          <w:szCs w:val="52"/>
        </w:rPr>
      </w:pPr>
      <w:r>
        <w:rPr>
          <w:rFonts w:hint="eastAsia" w:ascii="方正小标宋_GBK" w:eastAsia="方正小标宋_GBK"/>
          <w:spacing w:val="-8"/>
          <w:sz w:val="52"/>
          <w:szCs w:val="52"/>
        </w:rPr>
        <w:t>绩效评价自评报告</w:t>
      </w:r>
    </w:p>
    <w:p>
      <w:pPr>
        <w:jc w:val="center"/>
        <w:rPr>
          <w:sz w:val="44"/>
          <w:szCs w:val="44"/>
        </w:rPr>
      </w:pPr>
      <w:r>
        <w:rPr>
          <w:rFonts w:hint="eastAsia"/>
          <w:sz w:val="44"/>
          <w:szCs w:val="44"/>
        </w:rPr>
        <w:t>（</w:t>
      </w:r>
      <w:r>
        <w:rPr>
          <w:sz w:val="44"/>
          <w:szCs w:val="44"/>
        </w:rPr>
        <w:t>201</w:t>
      </w:r>
      <w:r>
        <w:rPr>
          <w:rFonts w:hint="eastAsia"/>
          <w:sz w:val="44"/>
          <w:szCs w:val="44"/>
        </w:rPr>
        <w:t>8年度）</w:t>
      </w:r>
    </w:p>
    <w:p/>
    <w:p/>
    <w:p/>
    <w:p/>
    <w:p/>
    <w:p/>
    <w:p>
      <w:pPr>
        <w:rPr>
          <w:rFonts w:ascii="宋体"/>
          <w:sz w:val="32"/>
          <w:szCs w:val="32"/>
        </w:rPr>
      </w:pPr>
      <w:r>
        <w:rPr>
          <w:rFonts w:hint="eastAsia" w:ascii="宋体" w:hAnsi="宋体"/>
          <w:sz w:val="32"/>
          <w:szCs w:val="32"/>
        </w:rPr>
        <w:t>项目名称：玉米新品种邢</w:t>
      </w:r>
      <w:r>
        <w:rPr>
          <w:rFonts w:hint="default" w:ascii="Times New Roman" w:hAnsi="Times New Roman" w:cs="Times New Roman"/>
          <w:sz w:val="32"/>
          <w:szCs w:val="32"/>
        </w:rPr>
        <w:t>玉10号</w:t>
      </w:r>
      <w:r>
        <w:rPr>
          <w:rFonts w:hint="eastAsia" w:ascii="宋体" w:hAnsi="宋体"/>
          <w:sz w:val="32"/>
          <w:szCs w:val="32"/>
        </w:rPr>
        <w:t>的示范推广</w:t>
      </w:r>
    </w:p>
    <w:p>
      <w:pPr>
        <w:rPr>
          <w:rFonts w:ascii="宋体"/>
          <w:sz w:val="32"/>
          <w:szCs w:val="32"/>
        </w:rPr>
      </w:pPr>
      <w:r>
        <w:rPr>
          <w:rFonts w:hint="eastAsia" w:ascii="宋体" w:hAnsi="宋体"/>
          <w:sz w:val="32"/>
          <w:szCs w:val="32"/>
        </w:rPr>
        <w:t>项目承担单位：邢台市农业科学研究院（公章）</w:t>
      </w:r>
    </w:p>
    <w:p>
      <w:pPr>
        <w:rPr>
          <w:rFonts w:ascii="宋体"/>
          <w:sz w:val="32"/>
          <w:szCs w:val="32"/>
        </w:rPr>
      </w:pPr>
      <w:r>
        <w:rPr>
          <w:rFonts w:hint="eastAsia" w:ascii="宋体" w:hAnsi="宋体"/>
          <w:sz w:val="32"/>
          <w:szCs w:val="32"/>
        </w:rPr>
        <w:t>项目主管部门：邢台市财政局（公章）</w:t>
      </w:r>
      <w:bookmarkStart w:id="0" w:name="_GoBack"/>
      <w:bookmarkEnd w:id="0"/>
    </w:p>
    <w:p>
      <w:pPr>
        <w:rPr>
          <w:rFonts w:ascii="宋体"/>
          <w:sz w:val="32"/>
          <w:szCs w:val="32"/>
        </w:rPr>
      </w:pPr>
      <w:r>
        <w:rPr>
          <w:rFonts w:hint="eastAsia" w:ascii="宋体" w:hAnsi="宋体"/>
          <w:sz w:val="32"/>
          <w:szCs w:val="32"/>
        </w:rPr>
        <w:t>组织方式：□财政部门</w:t>
      </w:r>
      <w:r>
        <w:rPr>
          <w:rFonts w:ascii="宋体" w:hAnsi="宋体"/>
          <w:sz w:val="32"/>
          <w:szCs w:val="32"/>
        </w:rPr>
        <w:t xml:space="preserve">   </w:t>
      </w:r>
      <w:r>
        <w:rPr>
          <w:rFonts w:hint="eastAsia" w:ascii="宋体" w:hAnsi="宋体"/>
          <w:sz w:val="32"/>
          <w:szCs w:val="32"/>
        </w:rPr>
        <w:t>□主管部门</w:t>
      </w:r>
      <w:r>
        <w:rPr>
          <w:rFonts w:ascii="宋体" w:hAnsi="宋体"/>
          <w:sz w:val="32"/>
          <w:szCs w:val="32"/>
        </w:rPr>
        <w:t xml:space="preserve">  </w:t>
      </w:r>
      <w:r>
        <w:rPr>
          <w:rFonts w:hint="eastAsia" w:ascii="宋体" w:hAnsi="宋体"/>
          <w:szCs w:val="21"/>
          <w:bdr w:val="single" w:color="auto" w:sz="4" w:space="0"/>
        </w:rPr>
        <w:t>√</w:t>
      </w:r>
      <w:r>
        <w:rPr>
          <w:rFonts w:hint="eastAsia" w:ascii="宋体" w:hAnsi="宋体"/>
          <w:sz w:val="32"/>
          <w:szCs w:val="32"/>
        </w:rPr>
        <w:t>实施单位</w:t>
      </w:r>
    </w:p>
    <w:p>
      <w:pPr>
        <w:rPr>
          <w:rFonts w:ascii="宋体"/>
          <w:sz w:val="32"/>
          <w:szCs w:val="32"/>
        </w:rPr>
      </w:pPr>
      <w:r>
        <w:rPr>
          <w:rFonts w:hint="eastAsia" w:ascii="宋体" w:hAnsi="宋体"/>
          <w:sz w:val="32"/>
          <w:szCs w:val="32"/>
        </w:rPr>
        <w:t>评价机构：□中介机构</w:t>
      </w:r>
      <w:r>
        <w:rPr>
          <w:rFonts w:ascii="宋体" w:hAnsi="宋体"/>
          <w:sz w:val="32"/>
          <w:szCs w:val="32"/>
        </w:rPr>
        <w:t xml:space="preserve">   </w:t>
      </w:r>
      <w:r>
        <w:rPr>
          <w:rFonts w:hint="eastAsia" w:ascii="宋体" w:hAnsi="宋体"/>
          <w:sz w:val="32"/>
          <w:szCs w:val="32"/>
        </w:rPr>
        <w:t>□专家组</w:t>
      </w:r>
      <w:r>
        <w:rPr>
          <w:rFonts w:ascii="宋体" w:hAnsi="宋体"/>
          <w:sz w:val="32"/>
          <w:szCs w:val="32"/>
        </w:rPr>
        <w:t xml:space="preserve">    </w:t>
      </w:r>
      <w:r>
        <w:rPr>
          <w:rFonts w:hint="eastAsia" w:ascii="宋体" w:hAnsi="宋体"/>
          <w:szCs w:val="21"/>
          <w:bdr w:val="single" w:color="auto" w:sz="4" w:space="0"/>
        </w:rPr>
        <w:t>√</w:t>
      </w:r>
      <w:r>
        <w:rPr>
          <w:rFonts w:hint="eastAsia" w:ascii="宋体" w:hAnsi="宋体"/>
          <w:sz w:val="32"/>
          <w:szCs w:val="32"/>
        </w:rPr>
        <w:t>项目单位评价组</w:t>
      </w:r>
    </w:p>
    <w:p>
      <w:pPr>
        <w:rPr>
          <w:rFonts w:ascii="宋体"/>
          <w:sz w:val="32"/>
          <w:szCs w:val="32"/>
        </w:rPr>
      </w:pPr>
      <w:r>
        <w:rPr>
          <w:rFonts w:hint="eastAsia" w:ascii="宋体" w:hAnsi="宋体"/>
          <w:sz w:val="32"/>
          <w:szCs w:val="32"/>
        </w:rPr>
        <w:t>评价类型：□预算申报前评价</w:t>
      </w:r>
      <w:r>
        <w:rPr>
          <w:rFonts w:ascii="宋体" w:hAnsi="宋体"/>
          <w:sz w:val="32"/>
          <w:szCs w:val="32"/>
        </w:rPr>
        <w:t xml:space="preserve"> </w:t>
      </w:r>
      <w:r>
        <w:rPr>
          <w:rFonts w:hint="eastAsia" w:ascii="宋体" w:hAnsi="宋体"/>
          <w:sz w:val="32"/>
          <w:szCs w:val="32"/>
        </w:rPr>
        <w:t>□实施过程评价</w:t>
      </w:r>
      <w:r>
        <w:rPr>
          <w:rFonts w:ascii="宋体" w:hAnsi="宋体"/>
          <w:sz w:val="32"/>
          <w:szCs w:val="32"/>
        </w:rPr>
        <w:t xml:space="preserve"> </w:t>
      </w:r>
      <w:r>
        <w:rPr>
          <w:rFonts w:hint="eastAsia" w:ascii="宋体" w:hAnsi="宋体"/>
          <w:szCs w:val="21"/>
          <w:bdr w:val="single" w:color="auto" w:sz="4" w:space="0"/>
        </w:rPr>
        <w:t>√</w:t>
      </w:r>
      <w:r>
        <w:rPr>
          <w:rFonts w:hint="eastAsia" w:ascii="宋体" w:hAnsi="宋体"/>
          <w:sz w:val="32"/>
          <w:szCs w:val="32"/>
        </w:rPr>
        <w:t>完成结果评价</w:t>
      </w:r>
    </w:p>
    <w:p>
      <w:pPr>
        <w:rPr>
          <w:rFonts w:ascii="宋体"/>
          <w:sz w:val="32"/>
          <w:szCs w:val="32"/>
        </w:rPr>
      </w:pPr>
    </w:p>
    <w:p>
      <w:pPr>
        <w:jc w:val="center"/>
        <w:rPr>
          <w:rFonts w:hint="default" w:ascii="Times New Roman" w:hAnsi="Times New Roman" w:cs="Times New Roman"/>
          <w:sz w:val="32"/>
          <w:szCs w:val="32"/>
        </w:rPr>
      </w:pPr>
      <w:r>
        <w:rPr>
          <w:rFonts w:hint="default" w:ascii="Times New Roman" w:hAnsi="Times New Roman" w:cs="Times New Roman"/>
          <w:sz w:val="32"/>
          <w:szCs w:val="32"/>
        </w:rPr>
        <w:t>2019 年8 月 15日</w:t>
      </w:r>
    </w:p>
    <w:p>
      <w:pPr>
        <w:widowControl/>
        <w:jc w:val="left"/>
        <w:rPr>
          <w:rFonts w:hint="default" w:ascii="Times New Roman" w:hAnsi="Times New Roman" w:cs="Times New Roman"/>
          <w:sz w:val="32"/>
          <w:szCs w:val="32"/>
        </w:rPr>
      </w:pPr>
      <w:r>
        <w:rPr>
          <w:rFonts w:hint="default" w:ascii="Times New Roman" w:hAnsi="Times New Roman" w:cs="Times New Roman"/>
          <w:sz w:val="32"/>
          <w:szCs w:val="32"/>
        </w:rPr>
        <w:br w:type="page"/>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一、项目概况</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（一）政府战略规划或目标。</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玉米是全球种植范围最广、产量最高的谷类作物，近年来，成为我国种植面积最大的粮食（饲用）作物。华北黄淮地区常年玉米播种面积为 15000～16500 万亩，正常年份玉米产量为 6000 万吨左右，约占全国总产量 30%。邢台市2015～2017年玉米平均种植面积512.4万亩，平均单产477.73公斤。</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近年来由于玉米库存太多， 玉米供需格局仍将维持宽松状态，国家出台了关于调减镰刀湾地区玉米种植的指导性意见。但是河北省的夏播区（包括邢台市的夏播区）仍然为国家玉米种植的优势区域，不属于调减范围。同时必须看到无论是迫于市场价格下跌的压力，还是政策调整结构的要求，农民也不可能短期内就大幅转变种植其他作物，因为这需要一系列的配套措施。 所以展望未来，玉米仍将是河北省和邢台市农业的主导产业之一，但是如何提高玉米种植的效率和效益成为玉米产业发展需要迫切解决的问题。</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众所周知，优良品种对农作物单产的贡献率达到了43%，并且对农产品高质量、高效益发展意义重大。</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（二）单位工作目标。</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通过新技术、新产品的示范和推广，提高农业生产的效率和效益。</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（三）项目基本情况。</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1.工作活动(项目)背景资料。</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邢玉10号玉米新品种于2016年5月通过河北省农作物品种审定委员会的审定（审定号：冀审玉2016003号），准予在河北省夏播区推广种植。该品种不仅高产稳产，并且具备耐热害、站杆能力强、籽粒脱水快、容重高、适宜机械化耕作和粮饲兼用的特点，符合当前玉米产业发展对玉米品种的要求，发展前景广阔。</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项目名称为“玉米新品种邢玉10号的示范推广”，主要内容包括高产示范方建设和品种推广工作。采用我院新培育的玉米新品种邢玉10号，在邢台市夏播玉米区域通过示范方建设、技术宣传等方式在邢台市推广15万亩，促进该品种尽快转化为生产力，实现农业增产，农民增收的目的。</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2.项目的可行性、必要性、有效性及其论证过程。</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生产实践中，许多推广品种综合抗病性差，籽粒脱水慢，品质较差的缺点，限制了玉米产业健康发展。而邢玉10号不仅高产、抗病性好，而且籽粒脱水快，容重高品质好，大面积推广应用十分必要。</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邢台市农科院拥有邢玉10号知识产权，强大的科研示范团队在执行类似项目中有丰富的经历经验，与河北春淼种业良好的合作关系，无不为此项目的执行提供了强有力的技术支撑和条件保障。</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通过本项目的实施可加快邢玉10号的成果转化速度，种植户提高产量，减少籽粒损耗，实现高产高效，增加社会经济效益。</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本项目在申报前经过农科院学术委员会的论证，认为项目的实施十分必要，切实可行，前景广阔。</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二、项目绩效目标和指标设定情况</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（一）项目总目标、年度目标设定情况。</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本项目旨在通过邢玉10号玉米新品种示范基地建设和宣传，加快转化步伐，实现示范区和辐射区玉米的增产增收。设立的年度目标如下：</w:t>
      </w:r>
    </w:p>
    <w:p>
      <w:pPr>
        <w:ind w:firstLine="643"/>
        <w:jc w:val="left"/>
        <w:rPr>
          <w:rFonts w:hint="default" w:ascii="Times New Roman" w:hAnsi="Times New Roman" w:cs="Times New Roman"/>
          <w:sz w:val="32"/>
          <w:szCs w:val="32"/>
        </w:rPr>
      </w:pPr>
      <w:r>
        <w:rPr>
          <w:rFonts w:hint="default" w:ascii="Times New Roman" w:hAnsi="Times New Roman" w:cs="Times New Roman"/>
          <w:sz w:val="32"/>
          <w:szCs w:val="32"/>
        </w:rPr>
        <w:t>安排邢玉10号100亩以上的高产示范方3～5个，高产示范面积500亩，较所在乡镇前三年平均产量增产12%；在邢台市推广15万亩，增产10%，合计新增社会经济效益1000万元。</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（二）项目绩效指标设定情况。</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1、产出指标</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（1）数量指标</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 xml:space="preserve">建设邢玉10号高产示范方总面积500亩，较所在乡镇前三年平均产量增产12%；印发技术资料3000份；在邢台市推广面积15万亩，增产10%。 </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（2）质量指标</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示范方要成方连片，每个示范点不低于100亩。</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（3）成本指标</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在完成项目的同时，尽量节约项目投入。</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2、效果指标</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（1）经济效益指标</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高产示范方较当地前三年平均亩产增产15%，或较其他推广品种对照田增产10%以上，新增社会经济效益1000万元。</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（2）社会效益指标</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该品种推广种植，收获时籽粒水分较郑单958少3-5个百分点，不易掉穗非常适宜机械化耕作，对实现玉米规模化生产，提高玉米籽粒质量有重要作用，间接促进玉米种业和玉米产业的发展。</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（3）环境效益指标</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品种的优良特性对生态环境有利。</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三、项目实施绩效管理情况及取得成绩</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（一）计划制定和落实情况。</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1、计划的制定和进度落实</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1～3月份通过调研，撰写了项目的详细实施计划，根据计划进行了各项措施的落实；4～6月，落实示范地点和面积、购买和发放种子、印发技术资料、示范方播种；7～9月，苗情检查、购买化肥、中后期田间管理、测产；10～12月，示范田收获、总结。</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2、采取的主要措施</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项目的技术路线：以邢台市农科院玉米室为技术支撑，以家庭农场或合作社为载体，立足于高产示范田建设，通过示范带动，实现邢玉10号的大面积推广。在此技术路线的框架下采取如下措施：</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（1）以调研为基础，选好示范方。</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在夏玉米种植区，主要在任县、隆尧、沙河、平乡等县（市）的家庭农场或种植合作社进行充分调研，选择符合如下条件的考虑安排项目示范方：</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①以大田作物种植为主，农户对种植玉米优良品种的积极性高，自愿种植邢玉10号玉米。</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②有一定的科学素养，具有落实好技术方案的愿望和能力。</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③土地平坦，水利条件好。</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④具有100～150亩成方连片的玉米田，周边玉米种植面积大，交通便利。</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（2）签订协议，明确责任。</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市农科院项目组与供种、供肥企业签订供货合同，保证种子和化肥的质量，同时在供种时由种植户（合作社）在专用表格上签收种子和化肥，同时向种植户提供相关技术资料，保证项目顺利实施。</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（3）编制、印发技术资料，落实技术措施。</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①编写示范方邢玉10号配套栽培技术措施，打印50份，做到每示范方10份；印刷邢玉10号宣传彩页5000份，向示范方及周边玉米种植户发放，辐射推广邢玉10号。</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②玉米播前供种、播种、苗期、大喇叭口期等生长关键期进行技术指导和咨询。</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（4）检查落实和测产活动</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①重点在苗期、大喇叭口期到各示范方检查苗情、督促追肥和关键水等技术措施的落实情况。</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②9月中下旬对示范方进行测产。除了项目组测产外，还邀请了有关专家组成专家组对种植面积最大的任县示范点进行了测产，明确示范和推广效果。</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3、项目实施效果</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（1）示范地点和规模的落实情况</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分别在任县、沙河、平乡、南河和隆尧设立了5个邢玉10号高产示范方，总面积550亩（见表1）。每个示范点成方连片，承担单位（个人）均有承担农业项目的经历。</w:t>
      </w:r>
    </w:p>
    <w:p>
      <w:pPr>
        <w:spacing w:beforeLines="50"/>
        <w:jc w:val="center"/>
        <w:rPr>
          <w:rFonts w:hint="default" w:ascii="Times New Roman" w:hAnsi="Times New Roman" w:cs="Times New Roman"/>
          <w:sz w:val="24"/>
        </w:rPr>
      </w:pPr>
      <w:r>
        <w:rPr>
          <w:rFonts w:hint="default" w:ascii="Times New Roman" w:hAnsi="Times New Roman" w:cs="Times New Roman"/>
          <w:b/>
          <w:sz w:val="24"/>
        </w:rPr>
        <w:t>表1 邢玉10号高产示范方设置情况</w:t>
      </w:r>
    </w:p>
    <w:tbl>
      <w:tblPr>
        <w:tblStyle w:val="4"/>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1"/>
        <w:gridCol w:w="3402"/>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61" w:type="dxa"/>
          </w:tcPr>
          <w:p>
            <w:pPr>
              <w:rPr>
                <w:rFonts w:hint="default" w:ascii="Times New Roman" w:hAnsi="Times New Roman" w:cs="Times New Roman"/>
                <w:sz w:val="24"/>
              </w:rPr>
            </w:pPr>
            <w:r>
              <w:rPr>
                <w:rFonts w:hint="default" w:ascii="Times New Roman" w:hAnsi="Times New Roman" w:cs="Times New Roman"/>
                <w:sz w:val="24"/>
              </w:rPr>
              <w:t>示范单位（个人）</w:t>
            </w:r>
          </w:p>
        </w:tc>
        <w:tc>
          <w:tcPr>
            <w:tcW w:w="3402" w:type="dxa"/>
          </w:tcPr>
          <w:p>
            <w:pPr>
              <w:rPr>
                <w:rFonts w:hint="default" w:ascii="Times New Roman" w:hAnsi="Times New Roman" w:cs="Times New Roman"/>
                <w:sz w:val="24"/>
              </w:rPr>
            </w:pPr>
            <w:r>
              <w:rPr>
                <w:rFonts w:hint="default" w:ascii="Times New Roman" w:hAnsi="Times New Roman" w:cs="Times New Roman"/>
                <w:sz w:val="24"/>
              </w:rPr>
              <w:t>示范地点</w:t>
            </w:r>
          </w:p>
        </w:tc>
        <w:tc>
          <w:tcPr>
            <w:tcW w:w="1276" w:type="dxa"/>
          </w:tcPr>
          <w:p>
            <w:pPr>
              <w:rPr>
                <w:rFonts w:hint="default" w:ascii="Times New Roman" w:hAnsi="Times New Roman" w:cs="Times New Roman"/>
                <w:sz w:val="24"/>
              </w:rPr>
            </w:pPr>
            <w:r>
              <w:rPr>
                <w:rFonts w:hint="default" w:ascii="Times New Roman" w:hAnsi="Times New Roman" w:cs="Times New Roman"/>
                <w:sz w:val="24"/>
              </w:rPr>
              <w:t>面积（亩）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61" w:type="dxa"/>
          </w:tcPr>
          <w:p>
            <w:pPr>
              <w:rPr>
                <w:rFonts w:hint="default" w:ascii="Times New Roman" w:hAnsi="Times New Roman" w:cs="Times New Roman"/>
                <w:sz w:val="24"/>
              </w:rPr>
            </w:pPr>
            <w:r>
              <w:rPr>
                <w:rFonts w:hint="default" w:ascii="Times New Roman" w:hAnsi="Times New Roman" w:cs="Times New Roman"/>
                <w:sz w:val="24"/>
              </w:rPr>
              <w:t>任县金绿旺家庭农场</w:t>
            </w:r>
          </w:p>
        </w:tc>
        <w:tc>
          <w:tcPr>
            <w:tcW w:w="3402" w:type="dxa"/>
          </w:tcPr>
          <w:p>
            <w:pPr>
              <w:rPr>
                <w:rFonts w:hint="default" w:ascii="Times New Roman" w:hAnsi="Times New Roman" w:cs="Times New Roman"/>
                <w:sz w:val="24"/>
              </w:rPr>
            </w:pPr>
            <w:r>
              <w:rPr>
                <w:rFonts w:hint="default" w:ascii="Times New Roman" w:hAnsi="Times New Roman" w:cs="Times New Roman"/>
                <w:sz w:val="24"/>
              </w:rPr>
              <w:t>任县永福庄乡岭南一村</w:t>
            </w:r>
          </w:p>
        </w:tc>
        <w:tc>
          <w:tcPr>
            <w:tcW w:w="1276" w:type="dxa"/>
          </w:tcPr>
          <w:p>
            <w:pPr>
              <w:rPr>
                <w:rFonts w:hint="default" w:ascii="Times New Roman" w:hAnsi="Times New Roman" w:cs="Times New Roman"/>
                <w:sz w:val="24"/>
              </w:rPr>
            </w:pPr>
            <w:r>
              <w:rPr>
                <w:rFonts w:hint="default" w:ascii="Times New Roman" w:hAnsi="Times New Roman" w:cs="Times New Roman"/>
                <w:sz w:val="24"/>
              </w:rPr>
              <w:t>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61" w:type="dxa"/>
          </w:tcPr>
          <w:p>
            <w:pPr>
              <w:rPr>
                <w:rFonts w:hint="default" w:ascii="Times New Roman" w:hAnsi="Times New Roman" w:cs="Times New Roman"/>
                <w:sz w:val="24"/>
              </w:rPr>
            </w:pPr>
            <w:r>
              <w:rPr>
                <w:rFonts w:hint="default" w:ascii="Times New Roman" w:hAnsi="Times New Roman" w:cs="Times New Roman"/>
                <w:sz w:val="24"/>
              </w:rPr>
              <w:t>邢台经济开发区丰农种植专业合作社</w:t>
            </w:r>
          </w:p>
        </w:tc>
        <w:tc>
          <w:tcPr>
            <w:tcW w:w="3402" w:type="dxa"/>
          </w:tcPr>
          <w:p>
            <w:pPr>
              <w:rPr>
                <w:rFonts w:hint="default" w:ascii="Times New Roman" w:hAnsi="Times New Roman" w:cs="Times New Roman"/>
                <w:sz w:val="24"/>
              </w:rPr>
            </w:pPr>
            <w:r>
              <w:rPr>
                <w:rFonts w:hint="default" w:ascii="Times New Roman" w:hAnsi="Times New Roman" w:cs="Times New Roman"/>
                <w:sz w:val="24"/>
              </w:rPr>
              <w:t>沙河城北街村村北</w:t>
            </w:r>
          </w:p>
        </w:tc>
        <w:tc>
          <w:tcPr>
            <w:tcW w:w="1276" w:type="dxa"/>
          </w:tcPr>
          <w:p>
            <w:pPr>
              <w:rPr>
                <w:rFonts w:hint="default" w:ascii="Times New Roman" w:hAnsi="Times New Roman" w:cs="Times New Roman"/>
                <w:sz w:val="24"/>
              </w:rPr>
            </w:pPr>
            <w:r>
              <w:rPr>
                <w:rFonts w:hint="default" w:ascii="Times New Roman" w:hAnsi="Times New Roman" w:cs="Times New Roman"/>
                <w:sz w:val="24"/>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61" w:type="dxa"/>
          </w:tcPr>
          <w:p>
            <w:pPr>
              <w:rPr>
                <w:rFonts w:hint="default" w:ascii="Times New Roman" w:hAnsi="Times New Roman" w:cs="Times New Roman"/>
                <w:sz w:val="24"/>
              </w:rPr>
            </w:pPr>
            <w:r>
              <w:rPr>
                <w:rFonts w:hint="default" w:ascii="Times New Roman" w:hAnsi="Times New Roman" w:cs="Times New Roman"/>
                <w:sz w:val="24"/>
              </w:rPr>
              <w:t>平乡县宏德家庭农场</w:t>
            </w:r>
          </w:p>
        </w:tc>
        <w:tc>
          <w:tcPr>
            <w:tcW w:w="3402" w:type="dxa"/>
          </w:tcPr>
          <w:p>
            <w:pPr>
              <w:rPr>
                <w:rFonts w:hint="default" w:ascii="Times New Roman" w:hAnsi="Times New Roman" w:cs="Times New Roman"/>
                <w:sz w:val="24"/>
              </w:rPr>
            </w:pPr>
            <w:r>
              <w:rPr>
                <w:rFonts w:hint="default" w:ascii="Times New Roman" w:hAnsi="Times New Roman" w:cs="Times New Roman"/>
                <w:sz w:val="24"/>
              </w:rPr>
              <w:t>平乡县寻召乡田王庄村西</w:t>
            </w:r>
          </w:p>
        </w:tc>
        <w:tc>
          <w:tcPr>
            <w:tcW w:w="1276" w:type="dxa"/>
          </w:tcPr>
          <w:p>
            <w:pPr>
              <w:rPr>
                <w:rFonts w:hint="default" w:ascii="Times New Roman" w:hAnsi="Times New Roman" w:cs="Times New Roman"/>
                <w:sz w:val="24"/>
              </w:rPr>
            </w:pPr>
            <w:r>
              <w:rPr>
                <w:rFonts w:hint="default" w:ascii="Times New Roman" w:hAnsi="Times New Roman" w:cs="Times New Roman"/>
                <w:sz w:val="24"/>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61" w:type="dxa"/>
          </w:tcPr>
          <w:p>
            <w:pPr>
              <w:rPr>
                <w:rFonts w:hint="default" w:ascii="Times New Roman" w:hAnsi="Times New Roman" w:cs="Times New Roman"/>
                <w:sz w:val="24"/>
              </w:rPr>
            </w:pPr>
            <w:r>
              <w:rPr>
                <w:rFonts w:hint="default" w:ascii="Times New Roman" w:hAnsi="Times New Roman" w:cs="Times New Roman"/>
                <w:sz w:val="24"/>
              </w:rPr>
              <w:t>南河县白佛村</w:t>
            </w:r>
          </w:p>
        </w:tc>
        <w:tc>
          <w:tcPr>
            <w:tcW w:w="3402" w:type="dxa"/>
          </w:tcPr>
          <w:p>
            <w:pPr>
              <w:rPr>
                <w:rFonts w:hint="default" w:ascii="Times New Roman" w:hAnsi="Times New Roman" w:cs="Times New Roman"/>
                <w:sz w:val="24"/>
              </w:rPr>
            </w:pPr>
            <w:r>
              <w:rPr>
                <w:rFonts w:hint="default" w:ascii="Times New Roman" w:hAnsi="Times New Roman" w:cs="Times New Roman"/>
                <w:sz w:val="24"/>
              </w:rPr>
              <w:t>南河县白佛村</w:t>
            </w:r>
          </w:p>
        </w:tc>
        <w:tc>
          <w:tcPr>
            <w:tcW w:w="1276" w:type="dxa"/>
          </w:tcPr>
          <w:p>
            <w:pPr>
              <w:rPr>
                <w:rFonts w:hint="default" w:ascii="Times New Roman" w:hAnsi="Times New Roman" w:cs="Times New Roman"/>
                <w:sz w:val="24"/>
              </w:rPr>
            </w:pPr>
            <w:r>
              <w:rPr>
                <w:rFonts w:hint="default" w:ascii="Times New Roman" w:hAnsi="Times New Roman" w:cs="Times New Roman"/>
                <w:sz w:val="24"/>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61" w:type="dxa"/>
          </w:tcPr>
          <w:p>
            <w:pPr>
              <w:rPr>
                <w:rFonts w:hint="default" w:ascii="Times New Roman" w:hAnsi="Times New Roman" w:cs="Times New Roman"/>
                <w:sz w:val="24"/>
              </w:rPr>
            </w:pPr>
            <w:r>
              <w:rPr>
                <w:rFonts w:hint="default" w:ascii="Times New Roman" w:hAnsi="Times New Roman" w:cs="Times New Roman"/>
                <w:sz w:val="24"/>
              </w:rPr>
              <w:t>隆尧县泽畔村高玉峰</w:t>
            </w:r>
          </w:p>
        </w:tc>
        <w:tc>
          <w:tcPr>
            <w:tcW w:w="3402" w:type="dxa"/>
          </w:tcPr>
          <w:p>
            <w:pPr>
              <w:rPr>
                <w:rFonts w:hint="default" w:ascii="Times New Roman" w:hAnsi="Times New Roman" w:cs="Times New Roman"/>
                <w:sz w:val="24"/>
              </w:rPr>
            </w:pPr>
            <w:r>
              <w:rPr>
                <w:rFonts w:hint="default" w:ascii="Times New Roman" w:hAnsi="Times New Roman" w:cs="Times New Roman"/>
                <w:sz w:val="24"/>
              </w:rPr>
              <w:t>隆尧县泽畔村东南</w:t>
            </w:r>
          </w:p>
        </w:tc>
        <w:tc>
          <w:tcPr>
            <w:tcW w:w="1276" w:type="dxa"/>
          </w:tcPr>
          <w:p>
            <w:pPr>
              <w:rPr>
                <w:rFonts w:hint="default" w:ascii="Times New Roman" w:hAnsi="Times New Roman" w:cs="Times New Roman"/>
                <w:sz w:val="24"/>
              </w:rPr>
            </w:pPr>
            <w:r>
              <w:rPr>
                <w:rFonts w:hint="default" w:ascii="Times New Roman" w:hAnsi="Times New Roman" w:cs="Times New Roman"/>
                <w:sz w:val="24"/>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61" w:type="dxa"/>
          </w:tcPr>
          <w:p>
            <w:pPr>
              <w:rPr>
                <w:rFonts w:hint="default" w:ascii="Times New Roman" w:hAnsi="Times New Roman" w:cs="Times New Roman"/>
                <w:sz w:val="24"/>
              </w:rPr>
            </w:pPr>
            <w:r>
              <w:rPr>
                <w:rFonts w:hint="default" w:ascii="Times New Roman" w:hAnsi="Times New Roman" w:cs="Times New Roman"/>
                <w:sz w:val="24"/>
              </w:rPr>
              <w:t>合计</w:t>
            </w:r>
          </w:p>
        </w:tc>
        <w:tc>
          <w:tcPr>
            <w:tcW w:w="3402" w:type="dxa"/>
          </w:tcPr>
          <w:p>
            <w:pPr>
              <w:rPr>
                <w:rFonts w:hint="default" w:ascii="Times New Roman" w:hAnsi="Times New Roman" w:cs="Times New Roman"/>
                <w:sz w:val="24"/>
              </w:rPr>
            </w:pPr>
          </w:p>
        </w:tc>
        <w:tc>
          <w:tcPr>
            <w:tcW w:w="1276" w:type="dxa"/>
          </w:tcPr>
          <w:p>
            <w:pPr>
              <w:rPr>
                <w:rFonts w:hint="default" w:ascii="Times New Roman" w:hAnsi="Times New Roman" w:cs="Times New Roman"/>
                <w:sz w:val="24"/>
              </w:rPr>
            </w:pPr>
            <w:r>
              <w:rPr>
                <w:rFonts w:hint="default" w:ascii="Times New Roman" w:hAnsi="Times New Roman" w:cs="Times New Roman"/>
                <w:sz w:val="24"/>
              </w:rPr>
              <w:t>550</w:t>
            </w:r>
          </w:p>
        </w:tc>
      </w:tr>
    </w:tbl>
    <w:p>
      <w:pPr>
        <w:spacing w:beforeLines="50" w:line="560" w:lineRule="exact"/>
        <w:ind w:firstLine="641"/>
        <w:rPr>
          <w:rFonts w:hint="default" w:ascii="Times New Roman" w:hAnsi="Times New Roman" w:cs="Times New Roman"/>
          <w:sz w:val="32"/>
          <w:szCs w:val="32"/>
        </w:rPr>
      </w:pPr>
      <w:r>
        <w:rPr>
          <w:rFonts w:hint="default" w:ascii="Times New Roman" w:hAnsi="Times New Roman" w:cs="Times New Roman"/>
          <w:sz w:val="32"/>
          <w:szCs w:val="32"/>
        </w:rPr>
        <w:t>（2）高产示范效果</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在花期高温和后期干旱等不利气候条件下喜获丰收。据专家组和项目组检测，总平均亩产612.4kg，较生产推广品种郑单958增产12.8%，远远高于邢台市前三年平均亩产（413.56）。其中任县示范点经专家组测产，平均亩产687.4kg，较任县前三年平均亩产（477.73kg）增产43.9%。</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（3）推广面积</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以上述示范田为基础辐射推广，2018年在邢台市推广种植23万亩，河北省推广种植面积117.4万亩。</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（4）取得的经济效益、社会效益和环境效益</w:t>
      </w:r>
    </w:p>
    <w:p>
      <w:pPr>
        <w:ind w:firstLine="643"/>
        <w:jc w:val="left"/>
        <w:rPr>
          <w:rFonts w:hint="default" w:ascii="Times New Roman" w:hAnsi="Times New Roman" w:cs="Times New Roman"/>
          <w:sz w:val="32"/>
          <w:szCs w:val="32"/>
        </w:rPr>
      </w:pPr>
      <w:r>
        <w:rPr>
          <w:rFonts w:hint="default" w:ascii="Times New Roman" w:hAnsi="Times New Roman" w:cs="Times New Roman"/>
          <w:sz w:val="32"/>
          <w:szCs w:val="32"/>
        </w:rPr>
        <w:t>邢台市2018年推广面积23万亩，按增产12.8%计算，合计增收玉米1273.1万公斤，每公斤玉米按1.8元计算，共获社会经济效益2291.49万元(其中示范田获社会经济效益0.548万元)。</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河北省2018年推广种植面积117.4万亩，如果按照省区试、生试参试数据，每亩增产29.3kg计算，增收玉米3439.82万公斤，合计社会经济效益6191.68万元。</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邢玉10号增产潜力大，籽粒品质好，使广大种植户受益。其良好的籽粒脱水性能，收获时籽粒水分较郑单958少3～5个百分点，使农户直接出售果穗每公斤可多买0.05～0.07元。即使晾晒出售籽粒，也由于籽粒水分低，减少晾晒时间，不仅节约成本，还能有效降低籽粒损耗。此外，该品种机械收获时不易掉穗，对实现玉米规模化生产，提高玉米籽粒质量有重要作用。</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（二）执行绩效监控情况。</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1、健全组织机构,加强对项目的管理。</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成立了以主管院长和科管处组成的项目领导小组,按照相关规定对项目进行协调和监管,以玉米一室为主体成立项目实施小组,具体负责项目的实施方案制定、示范地点落实、配套栽培技术的实施、技术指导、技术咨询和培训等工作，为项目的顺利实施提供了组织保障。</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2、关键期对项目工作进行督促和检查。</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关键期进行技术服务、技术指导工作的同时，对各示范点的地块落实、苗情、水肥应用等情况进行检查和督促，以保证各项技术措施的顺利落实。</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3、收获前进行测产。</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收获前由项目组对各示范方进行了测产工作，同时邀请市农业局3位专家成立了田间检测专家组，对任县示范区进行测产，考察品种综合表现。</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（三）资金管理情况。说明资金到位、自筹资金落实和实际支出等情况。</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该项目总投资10万元，全部为财政资金，项目资金足额、及时到位，投资计划完成情况如下：</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1、专用</w:t>
      </w:r>
      <w:r>
        <w:rPr>
          <w:rFonts w:hint="default" w:ascii="Times New Roman" w:hAnsi="Times New Roman" w:cs="Times New Roman"/>
          <w:sz w:val="32"/>
          <w:szCs w:val="32"/>
          <w:lang w:eastAsia="zh-CN"/>
        </w:rPr>
        <w:t>燃</w:t>
      </w:r>
      <w:r>
        <w:rPr>
          <w:rFonts w:hint="default" w:ascii="Times New Roman" w:hAnsi="Times New Roman" w:cs="Times New Roman"/>
          <w:sz w:val="32"/>
          <w:szCs w:val="32"/>
        </w:rPr>
        <w:t>料费</w:t>
      </w:r>
    </w:p>
    <w:p>
      <w:pPr>
        <w:spacing w:line="560" w:lineRule="exact"/>
        <w:ind w:firstLine="640" w:firstLineChars="200"/>
        <w:rPr>
          <w:rFonts w:hint="default" w:ascii="Times New Roman" w:hAnsi="Times New Roman" w:eastAsia="宋体" w:cs="Times New Roman"/>
          <w:sz w:val="32"/>
          <w:szCs w:val="32"/>
          <w:lang w:val="en-US" w:eastAsia="zh-CN"/>
        </w:rPr>
      </w:pPr>
      <w:r>
        <w:rPr>
          <w:rFonts w:hint="default" w:ascii="Times New Roman" w:hAnsi="Times New Roman" w:cs="Times New Roman"/>
          <w:sz w:val="32"/>
          <w:szCs w:val="32"/>
        </w:rPr>
        <w:t>计划支出</w:t>
      </w:r>
      <w:r>
        <w:rPr>
          <w:rFonts w:hint="default" w:ascii="Times New Roman" w:hAnsi="Times New Roman" w:cs="Times New Roman"/>
          <w:sz w:val="32"/>
          <w:szCs w:val="32"/>
          <w:lang w:val="en-US" w:eastAsia="zh-CN"/>
        </w:rPr>
        <w:t>1</w:t>
      </w:r>
      <w:r>
        <w:rPr>
          <w:rFonts w:hint="default" w:ascii="Times New Roman" w:hAnsi="Times New Roman" w:cs="Times New Roman"/>
          <w:sz w:val="32"/>
          <w:szCs w:val="32"/>
          <w:lang w:eastAsia="zh-CN"/>
        </w:rPr>
        <w:t>万</w:t>
      </w:r>
      <w:r>
        <w:rPr>
          <w:rFonts w:hint="default" w:ascii="Times New Roman" w:hAnsi="Times New Roman" w:cs="Times New Roman"/>
          <w:sz w:val="32"/>
          <w:szCs w:val="32"/>
        </w:rPr>
        <w:t>元，实际支出</w:t>
      </w:r>
      <w:r>
        <w:rPr>
          <w:rFonts w:hint="default" w:ascii="Times New Roman" w:hAnsi="Times New Roman" w:cs="Times New Roman"/>
          <w:sz w:val="32"/>
          <w:szCs w:val="32"/>
          <w:lang w:val="en-US" w:eastAsia="zh-CN"/>
        </w:rPr>
        <w:t>0.3</w:t>
      </w:r>
      <w:r>
        <w:rPr>
          <w:rFonts w:hint="default" w:ascii="Times New Roman" w:hAnsi="Times New Roman" w:cs="Times New Roman"/>
          <w:sz w:val="32"/>
          <w:szCs w:val="32"/>
          <w:lang w:eastAsia="zh-CN"/>
        </w:rPr>
        <w:t>万</w:t>
      </w:r>
      <w:r>
        <w:rPr>
          <w:rFonts w:hint="default" w:ascii="Times New Roman" w:hAnsi="Times New Roman" w:cs="Times New Roman"/>
          <w:sz w:val="32"/>
          <w:szCs w:val="32"/>
        </w:rPr>
        <w:t>元。</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lang w:val="en-US" w:eastAsia="zh-CN"/>
        </w:rPr>
        <w:t>2、</w:t>
      </w:r>
      <w:r>
        <w:rPr>
          <w:rFonts w:hint="default" w:ascii="Times New Roman" w:hAnsi="Times New Roman" w:cs="Times New Roman"/>
          <w:sz w:val="32"/>
          <w:szCs w:val="32"/>
        </w:rPr>
        <w:t>专用材料费</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计划支出4</w:t>
      </w:r>
      <w:r>
        <w:rPr>
          <w:rFonts w:hint="default" w:ascii="Times New Roman" w:hAnsi="Times New Roman" w:cs="Times New Roman"/>
          <w:sz w:val="32"/>
          <w:szCs w:val="32"/>
          <w:lang w:val="en-US" w:eastAsia="zh-CN"/>
        </w:rPr>
        <w:t>.</w:t>
      </w:r>
      <w:r>
        <w:rPr>
          <w:rFonts w:hint="default" w:ascii="Times New Roman" w:hAnsi="Times New Roman" w:cs="Times New Roman"/>
          <w:sz w:val="32"/>
          <w:szCs w:val="32"/>
        </w:rPr>
        <w:t>35</w:t>
      </w:r>
      <w:r>
        <w:rPr>
          <w:rFonts w:hint="default" w:ascii="Times New Roman" w:hAnsi="Times New Roman" w:cs="Times New Roman"/>
          <w:sz w:val="32"/>
          <w:szCs w:val="32"/>
          <w:lang w:eastAsia="zh-CN"/>
        </w:rPr>
        <w:t>万</w:t>
      </w:r>
      <w:r>
        <w:rPr>
          <w:rFonts w:hint="default" w:ascii="Times New Roman" w:hAnsi="Times New Roman" w:cs="Times New Roman"/>
          <w:sz w:val="32"/>
          <w:szCs w:val="32"/>
        </w:rPr>
        <w:t>元，实际支出4</w:t>
      </w:r>
      <w:r>
        <w:rPr>
          <w:rFonts w:hint="default" w:ascii="Times New Roman" w:hAnsi="Times New Roman" w:cs="Times New Roman"/>
          <w:sz w:val="32"/>
          <w:szCs w:val="32"/>
          <w:lang w:val="en-US" w:eastAsia="zh-CN"/>
        </w:rPr>
        <w:t>.</w:t>
      </w:r>
      <w:r>
        <w:rPr>
          <w:rFonts w:hint="default" w:ascii="Times New Roman" w:hAnsi="Times New Roman" w:cs="Times New Roman"/>
          <w:sz w:val="32"/>
          <w:szCs w:val="32"/>
        </w:rPr>
        <w:t>958</w:t>
      </w:r>
      <w:r>
        <w:rPr>
          <w:rFonts w:hint="default" w:ascii="Times New Roman" w:hAnsi="Times New Roman" w:cs="Times New Roman"/>
          <w:sz w:val="32"/>
          <w:szCs w:val="32"/>
          <w:lang w:val="en-US" w:eastAsia="zh-CN"/>
        </w:rPr>
        <w:t>5</w:t>
      </w:r>
      <w:r>
        <w:rPr>
          <w:rFonts w:hint="default" w:ascii="Times New Roman" w:hAnsi="Times New Roman" w:cs="Times New Roman"/>
          <w:sz w:val="32"/>
          <w:szCs w:val="32"/>
          <w:lang w:eastAsia="zh-CN"/>
        </w:rPr>
        <w:t>万</w:t>
      </w:r>
      <w:r>
        <w:rPr>
          <w:rFonts w:hint="default" w:ascii="Times New Roman" w:hAnsi="Times New Roman" w:cs="Times New Roman"/>
          <w:sz w:val="32"/>
          <w:szCs w:val="32"/>
        </w:rPr>
        <w:t>元。</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lang w:val="en-US" w:eastAsia="zh-CN"/>
        </w:rPr>
        <w:t>3</w:t>
      </w:r>
      <w:r>
        <w:rPr>
          <w:rFonts w:hint="default" w:ascii="Times New Roman" w:hAnsi="Times New Roman" w:cs="Times New Roman"/>
          <w:sz w:val="32"/>
          <w:szCs w:val="32"/>
        </w:rPr>
        <w:t>、差旅费</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计划支出</w:t>
      </w:r>
      <w:r>
        <w:rPr>
          <w:rFonts w:hint="default" w:ascii="Times New Roman" w:hAnsi="Times New Roman" w:cs="Times New Roman"/>
          <w:sz w:val="32"/>
          <w:szCs w:val="32"/>
          <w:lang w:val="en-US" w:eastAsia="zh-CN"/>
        </w:rPr>
        <w:t>0.0</w:t>
      </w:r>
      <w:r>
        <w:rPr>
          <w:rFonts w:hint="default" w:ascii="Times New Roman" w:hAnsi="Times New Roman" w:cs="Times New Roman"/>
          <w:sz w:val="32"/>
          <w:szCs w:val="32"/>
        </w:rPr>
        <w:t>7</w:t>
      </w:r>
      <w:r>
        <w:rPr>
          <w:rFonts w:hint="default" w:ascii="Times New Roman" w:hAnsi="Times New Roman" w:cs="Times New Roman"/>
          <w:sz w:val="32"/>
          <w:szCs w:val="32"/>
          <w:lang w:eastAsia="zh-CN"/>
        </w:rPr>
        <w:t>万</w:t>
      </w:r>
      <w:r>
        <w:rPr>
          <w:rFonts w:hint="default" w:ascii="Times New Roman" w:hAnsi="Times New Roman" w:cs="Times New Roman"/>
          <w:sz w:val="32"/>
          <w:szCs w:val="32"/>
        </w:rPr>
        <w:t>元，实际支出</w:t>
      </w:r>
      <w:r>
        <w:rPr>
          <w:rFonts w:hint="default" w:ascii="Times New Roman" w:hAnsi="Times New Roman" w:cs="Times New Roman"/>
          <w:sz w:val="32"/>
          <w:szCs w:val="32"/>
          <w:lang w:val="en-US" w:eastAsia="zh-CN"/>
        </w:rPr>
        <w:t>0.0</w:t>
      </w:r>
      <w:r>
        <w:rPr>
          <w:rFonts w:hint="default" w:ascii="Times New Roman" w:hAnsi="Times New Roman" w:cs="Times New Roman"/>
          <w:sz w:val="32"/>
          <w:szCs w:val="32"/>
        </w:rPr>
        <w:t>75</w:t>
      </w:r>
      <w:r>
        <w:rPr>
          <w:rFonts w:hint="default" w:ascii="Times New Roman" w:hAnsi="Times New Roman" w:cs="Times New Roman"/>
          <w:sz w:val="32"/>
          <w:szCs w:val="32"/>
          <w:lang w:val="en-US" w:eastAsia="zh-CN"/>
        </w:rPr>
        <w:t>5</w:t>
      </w:r>
      <w:r>
        <w:rPr>
          <w:rFonts w:hint="default" w:ascii="Times New Roman" w:hAnsi="Times New Roman" w:cs="Times New Roman"/>
          <w:sz w:val="32"/>
          <w:szCs w:val="32"/>
          <w:lang w:eastAsia="zh-CN"/>
        </w:rPr>
        <w:t>万</w:t>
      </w:r>
      <w:r>
        <w:rPr>
          <w:rFonts w:hint="default" w:ascii="Times New Roman" w:hAnsi="Times New Roman" w:cs="Times New Roman"/>
          <w:sz w:val="32"/>
          <w:szCs w:val="32"/>
        </w:rPr>
        <w:t>元。</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lang w:val="en-US" w:eastAsia="zh-CN"/>
        </w:rPr>
        <w:t>4</w:t>
      </w:r>
      <w:r>
        <w:rPr>
          <w:rFonts w:hint="default" w:ascii="Times New Roman" w:hAnsi="Times New Roman" w:cs="Times New Roman"/>
          <w:sz w:val="32"/>
          <w:szCs w:val="32"/>
        </w:rPr>
        <w:t>、印刷费</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计划支出</w:t>
      </w:r>
      <w:r>
        <w:rPr>
          <w:rFonts w:hint="default" w:ascii="Times New Roman" w:hAnsi="Times New Roman" w:cs="Times New Roman"/>
          <w:sz w:val="32"/>
          <w:szCs w:val="32"/>
          <w:lang w:val="en-US" w:eastAsia="zh-CN"/>
        </w:rPr>
        <w:t>0.</w:t>
      </w:r>
      <w:r>
        <w:rPr>
          <w:rFonts w:hint="default" w:ascii="Times New Roman" w:hAnsi="Times New Roman" w:cs="Times New Roman"/>
          <w:sz w:val="32"/>
          <w:szCs w:val="32"/>
        </w:rPr>
        <w:t>28</w:t>
      </w:r>
      <w:r>
        <w:rPr>
          <w:rFonts w:hint="default" w:ascii="Times New Roman" w:hAnsi="Times New Roman" w:cs="Times New Roman"/>
          <w:sz w:val="32"/>
          <w:szCs w:val="32"/>
          <w:lang w:eastAsia="zh-CN"/>
        </w:rPr>
        <w:t>万</w:t>
      </w:r>
      <w:r>
        <w:rPr>
          <w:rFonts w:hint="default" w:ascii="Times New Roman" w:hAnsi="Times New Roman" w:cs="Times New Roman"/>
          <w:sz w:val="32"/>
          <w:szCs w:val="32"/>
        </w:rPr>
        <w:t>元，实际支出</w:t>
      </w:r>
      <w:r>
        <w:rPr>
          <w:rFonts w:hint="default" w:ascii="Times New Roman" w:hAnsi="Times New Roman" w:cs="Times New Roman"/>
          <w:sz w:val="32"/>
          <w:szCs w:val="32"/>
          <w:lang w:val="en-US" w:eastAsia="zh-CN"/>
        </w:rPr>
        <w:t>0.27</w:t>
      </w:r>
      <w:r>
        <w:rPr>
          <w:rFonts w:hint="default" w:ascii="Times New Roman" w:hAnsi="Times New Roman" w:cs="Times New Roman"/>
          <w:sz w:val="32"/>
          <w:szCs w:val="32"/>
        </w:rPr>
        <w:t>6</w:t>
      </w:r>
      <w:r>
        <w:rPr>
          <w:rFonts w:hint="default" w:ascii="Times New Roman" w:hAnsi="Times New Roman" w:cs="Times New Roman"/>
          <w:sz w:val="32"/>
          <w:szCs w:val="32"/>
          <w:lang w:eastAsia="zh-CN"/>
        </w:rPr>
        <w:t>万</w:t>
      </w:r>
      <w:r>
        <w:rPr>
          <w:rFonts w:hint="default" w:ascii="Times New Roman" w:hAnsi="Times New Roman" w:cs="Times New Roman"/>
          <w:sz w:val="32"/>
          <w:szCs w:val="32"/>
        </w:rPr>
        <w:t>元。</w:t>
      </w:r>
    </w:p>
    <w:p>
      <w:pPr>
        <w:spacing w:line="560" w:lineRule="exact"/>
        <w:ind w:firstLine="640" w:firstLineChars="200"/>
        <w:rPr>
          <w:rFonts w:hint="default" w:ascii="Times New Roman" w:hAnsi="Times New Roman" w:eastAsia="宋体" w:cs="Times New Roman"/>
          <w:sz w:val="32"/>
          <w:szCs w:val="32"/>
          <w:lang w:eastAsia="zh-CN"/>
        </w:rPr>
      </w:pPr>
      <w:r>
        <w:rPr>
          <w:rFonts w:hint="default" w:ascii="Times New Roman" w:hAnsi="Times New Roman" w:cs="Times New Roman"/>
          <w:sz w:val="32"/>
          <w:szCs w:val="32"/>
          <w:lang w:val="en-US" w:eastAsia="zh-CN"/>
        </w:rPr>
        <w:t>5</w:t>
      </w:r>
      <w:r>
        <w:rPr>
          <w:rFonts w:hint="default" w:ascii="Times New Roman" w:hAnsi="Times New Roman" w:cs="Times New Roman"/>
          <w:sz w:val="32"/>
          <w:szCs w:val="32"/>
        </w:rPr>
        <w:t>、</w:t>
      </w:r>
      <w:r>
        <w:rPr>
          <w:rFonts w:hint="default" w:ascii="Times New Roman" w:hAnsi="Times New Roman" w:cs="Times New Roman"/>
          <w:sz w:val="32"/>
          <w:szCs w:val="32"/>
          <w:lang w:eastAsia="zh-CN"/>
        </w:rPr>
        <w:t>劳务费</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lang w:eastAsia="zh-CN"/>
        </w:rPr>
        <w:t>计划支出</w:t>
      </w:r>
      <w:r>
        <w:rPr>
          <w:rFonts w:hint="default" w:ascii="Times New Roman" w:hAnsi="Times New Roman" w:cs="Times New Roman"/>
          <w:sz w:val="32"/>
          <w:szCs w:val="32"/>
          <w:lang w:val="en-US" w:eastAsia="zh-CN"/>
        </w:rPr>
        <w:t>4万元，</w:t>
      </w:r>
      <w:r>
        <w:rPr>
          <w:rFonts w:hint="default" w:ascii="Times New Roman" w:hAnsi="Times New Roman" w:cs="Times New Roman"/>
          <w:sz w:val="32"/>
          <w:szCs w:val="32"/>
        </w:rPr>
        <w:t>实际支出4</w:t>
      </w:r>
      <w:r>
        <w:rPr>
          <w:rFonts w:hint="default" w:ascii="Times New Roman" w:hAnsi="Times New Roman" w:cs="Times New Roman"/>
          <w:sz w:val="32"/>
          <w:szCs w:val="32"/>
          <w:lang w:val="en-US" w:eastAsia="zh-CN"/>
        </w:rPr>
        <w:t>.</w:t>
      </w:r>
      <w:r>
        <w:rPr>
          <w:rFonts w:hint="default" w:ascii="Times New Roman" w:hAnsi="Times New Roman" w:cs="Times New Roman"/>
          <w:sz w:val="32"/>
          <w:szCs w:val="32"/>
        </w:rPr>
        <w:t>3</w:t>
      </w:r>
      <w:r>
        <w:rPr>
          <w:rFonts w:hint="default" w:ascii="Times New Roman" w:hAnsi="Times New Roman" w:cs="Times New Roman"/>
          <w:sz w:val="32"/>
          <w:szCs w:val="32"/>
          <w:lang w:eastAsia="zh-CN"/>
        </w:rPr>
        <w:t>万</w:t>
      </w:r>
      <w:r>
        <w:rPr>
          <w:rFonts w:hint="default" w:ascii="Times New Roman" w:hAnsi="Times New Roman" w:cs="Times New Roman"/>
          <w:sz w:val="32"/>
          <w:szCs w:val="32"/>
        </w:rPr>
        <w:t>元。</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lang w:val="en-US" w:eastAsia="zh-CN"/>
        </w:rPr>
        <w:t>6</w:t>
      </w:r>
      <w:r>
        <w:rPr>
          <w:rFonts w:hint="default" w:ascii="Times New Roman" w:hAnsi="Times New Roman" w:cs="Times New Roman"/>
          <w:sz w:val="32"/>
          <w:szCs w:val="32"/>
        </w:rPr>
        <w:t>、其他支出</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计划支出</w:t>
      </w:r>
      <w:r>
        <w:rPr>
          <w:rFonts w:hint="default" w:ascii="Times New Roman" w:hAnsi="Times New Roman" w:cs="Times New Roman"/>
          <w:sz w:val="32"/>
          <w:szCs w:val="32"/>
          <w:lang w:val="en-US" w:eastAsia="zh-CN"/>
        </w:rPr>
        <w:t>0.3</w:t>
      </w:r>
      <w:r>
        <w:rPr>
          <w:rFonts w:hint="default" w:ascii="Times New Roman" w:hAnsi="Times New Roman" w:cs="Times New Roman"/>
          <w:sz w:val="32"/>
          <w:szCs w:val="32"/>
          <w:lang w:eastAsia="zh-CN"/>
        </w:rPr>
        <w:t>万</w:t>
      </w:r>
      <w:r>
        <w:rPr>
          <w:rFonts w:hint="default" w:ascii="Times New Roman" w:hAnsi="Times New Roman" w:cs="Times New Roman"/>
          <w:sz w:val="32"/>
          <w:szCs w:val="32"/>
        </w:rPr>
        <w:t>元，实际实际支出</w:t>
      </w:r>
      <w:r>
        <w:rPr>
          <w:rFonts w:hint="default" w:ascii="Times New Roman" w:hAnsi="Times New Roman" w:cs="Times New Roman"/>
          <w:sz w:val="32"/>
          <w:szCs w:val="32"/>
          <w:lang w:val="en-US" w:eastAsia="zh-CN"/>
        </w:rPr>
        <w:t>0.09</w:t>
      </w:r>
      <w:r>
        <w:rPr>
          <w:rFonts w:hint="default" w:ascii="Times New Roman" w:hAnsi="Times New Roman" w:cs="Times New Roman"/>
          <w:sz w:val="32"/>
          <w:szCs w:val="32"/>
          <w:lang w:eastAsia="zh-CN"/>
        </w:rPr>
        <w:t>万</w:t>
      </w:r>
      <w:r>
        <w:rPr>
          <w:rFonts w:hint="default" w:ascii="Times New Roman" w:hAnsi="Times New Roman" w:cs="Times New Roman"/>
          <w:sz w:val="32"/>
          <w:szCs w:val="32"/>
        </w:rPr>
        <w:t>元。</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合计支出10万元。</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（四）绩效管理制度建设及执行情况。</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该项目的绩效目标纳入单位内部的绩效目标进行管理，每季度进行调度、督促和总结。</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（五）风险管理情况。</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本项目存在自然灾害等不可抗力因素导致玉米示范受影响的风险因素，处置方法主要包括种子包装袋标注风险提示、栽培技术要点中提出预防措施等。本年该项目无风险发生。</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四、项目绩效自评情况</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（一）项目自评组织情况。</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邀请院学术委员会有关专家，按照规定标准对该项目的绩效进行了结果自评。</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（二）项目评价结果。</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工作活动设置14分</w:t>
      </w:r>
      <w:r>
        <w:rPr>
          <w:rFonts w:hint="default" w:ascii="Times New Roman" w:hAnsi="Times New Roman" w:cs="Times New Roman"/>
          <w:sz w:val="32"/>
          <w:szCs w:val="32"/>
          <w:lang w:eastAsia="zh-CN"/>
        </w:rPr>
        <w:t>，</w:t>
      </w:r>
      <w:r>
        <w:rPr>
          <w:rFonts w:hint="default" w:ascii="Times New Roman" w:hAnsi="Times New Roman" w:cs="Times New Roman"/>
          <w:sz w:val="32"/>
          <w:szCs w:val="32"/>
        </w:rPr>
        <w:t>工作活动管理24分</w:t>
      </w:r>
      <w:r>
        <w:rPr>
          <w:rFonts w:hint="default" w:ascii="Times New Roman" w:hAnsi="Times New Roman" w:cs="Times New Roman"/>
          <w:sz w:val="32"/>
          <w:szCs w:val="32"/>
          <w:lang w:eastAsia="zh-CN"/>
        </w:rPr>
        <w:t>，</w:t>
      </w:r>
      <w:r>
        <w:rPr>
          <w:rFonts w:hint="default" w:ascii="Times New Roman" w:hAnsi="Times New Roman" w:cs="Times New Roman"/>
          <w:sz w:val="32"/>
          <w:szCs w:val="32"/>
        </w:rPr>
        <w:t>工作活动产出24分，工作活动效果35分</w:t>
      </w:r>
      <w:r>
        <w:rPr>
          <w:rFonts w:hint="default" w:ascii="Times New Roman" w:hAnsi="Times New Roman" w:cs="Times New Roman"/>
          <w:sz w:val="32"/>
          <w:szCs w:val="32"/>
          <w:lang w:eastAsia="zh-CN"/>
        </w:rPr>
        <w:t>，</w:t>
      </w:r>
      <w:r>
        <w:rPr>
          <w:rFonts w:hint="default" w:ascii="Times New Roman" w:hAnsi="Times New Roman" w:cs="Times New Roman"/>
          <w:sz w:val="32"/>
          <w:szCs w:val="32"/>
        </w:rPr>
        <w:t>绩效评价总得分97分。</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五、项目存在的问题、改进工作的意见及建议</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（一）示范效果要与可观摩性相结合</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该项目属于新品种示范推广项目，为了促进新品种的快速扩散，不能仅仅注重示范的产量和经济效应，应该同时考虑示范点的可观摩性，即不仅重视示范点的地力和管理水平，也要从交通条件、种植规范和边行整齐性等方面综合考虑布点，通过观摩媒体宣传强化示范效应。</w:t>
      </w:r>
    </w:p>
    <w:p>
      <w:pPr>
        <w:pStyle w:val="10"/>
        <w:spacing w:line="560" w:lineRule="exact"/>
        <w:ind w:firstLine="640"/>
        <w:rPr>
          <w:rFonts w:hint="default" w:ascii="Times New Roman" w:hAnsi="Times New Roman" w:eastAsia="宋体" w:cs="Times New Roman"/>
          <w:szCs w:val="32"/>
        </w:rPr>
      </w:pPr>
      <w:r>
        <w:rPr>
          <w:rFonts w:hint="default" w:ascii="Times New Roman" w:hAnsi="Times New Roman" w:eastAsia="宋体" w:cs="Times New Roman"/>
          <w:szCs w:val="32"/>
        </w:rPr>
        <w:t>（二）完善政府、科研单位、种企和大户的合作模式</w:t>
      </w:r>
    </w:p>
    <w:p>
      <w:pPr>
        <w:pStyle w:val="10"/>
        <w:spacing w:line="560" w:lineRule="exact"/>
        <w:ind w:firstLine="640"/>
        <w:rPr>
          <w:rFonts w:hint="default" w:ascii="Times New Roman" w:hAnsi="Times New Roman" w:eastAsia="宋体" w:cs="Times New Roman"/>
          <w:szCs w:val="32"/>
        </w:rPr>
      </w:pPr>
      <w:r>
        <w:rPr>
          <w:rFonts w:hint="default" w:ascii="Times New Roman" w:hAnsi="Times New Roman" w:eastAsia="宋体" w:cs="Times New Roman"/>
          <w:szCs w:val="32"/>
        </w:rPr>
        <w:t>新形势下，科研单位没有了种子企业，新品种的示范推广离不开种子经销企业；种植大户（家庭农场、合作社）的规模经营，也成为新品种示范的良好的平台。所以，在政府财政资金的资助下，以项目为纽带，科研单位为技术支撑，种植大户为示范展示平台，种子经销企业和农业推广部门为传播网络的新品种示范推广新模式，值得今后进一步探讨和完善。</w:t>
      </w:r>
    </w:p>
    <w:p>
      <w:pPr>
        <w:spacing w:line="560" w:lineRule="exact"/>
        <w:ind w:firstLine="640" w:firstLineChars="200"/>
        <w:rPr>
          <w:rFonts w:hint="default" w:ascii="Times New Roman" w:hAnsi="Times New Roman" w:cs="Times New Roman"/>
          <w:sz w:val="32"/>
          <w:szCs w:val="32"/>
        </w:rPr>
      </w:pPr>
    </w:p>
    <w:sectPr>
      <w:pgSz w:w="11906" w:h="16838"/>
      <w:pgMar w:top="1440" w:right="1361"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_GBK">
    <w:altName w:val="黑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4652"/>
    <w:rsid w:val="000018C6"/>
    <w:rsid w:val="00002EDB"/>
    <w:rsid w:val="000110C6"/>
    <w:rsid w:val="0001549E"/>
    <w:rsid w:val="0002262D"/>
    <w:rsid w:val="00035E5C"/>
    <w:rsid w:val="000416D8"/>
    <w:rsid w:val="00053FE7"/>
    <w:rsid w:val="0005572E"/>
    <w:rsid w:val="0006237F"/>
    <w:rsid w:val="00082520"/>
    <w:rsid w:val="000944BE"/>
    <w:rsid w:val="000E5E26"/>
    <w:rsid w:val="00136F7C"/>
    <w:rsid w:val="001479F8"/>
    <w:rsid w:val="001538B2"/>
    <w:rsid w:val="00167622"/>
    <w:rsid w:val="0017333C"/>
    <w:rsid w:val="00185B9B"/>
    <w:rsid w:val="001E495C"/>
    <w:rsid w:val="002115F2"/>
    <w:rsid w:val="00245444"/>
    <w:rsid w:val="00271DC3"/>
    <w:rsid w:val="00275AD0"/>
    <w:rsid w:val="002865DE"/>
    <w:rsid w:val="002A20C5"/>
    <w:rsid w:val="002B0EFC"/>
    <w:rsid w:val="002B7B00"/>
    <w:rsid w:val="00300DB8"/>
    <w:rsid w:val="00317080"/>
    <w:rsid w:val="00364303"/>
    <w:rsid w:val="003839B7"/>
    <w:rsid w:val="003B7B82"/>
    <w:rsid w:val="004963CD"/>
    <w:rsid w:val="004A434E"/>
    <w:rsid w:val="004B4605"/>
    <w:rsid w:val="004D6006"/>
    <w:rsid w:val="004F1741"/>
    <w:rsid w:val="00510F99"/>
    <w:rsid w:val="00584F84"/>
    <w:rsid w:val="005B32AD"/>
    <w:rsid w:val="005C692F"/>
    <w:rsid w:val="005D03B0"/>
    <w:rsid w:val="005D7A8D"/>
    <w:rsid w:val="005E79E9"/>
    <w:rsid w:val="005F0CA6"/>
    <w:rsid w:val="00601BA7"/>
    <w:rsid w:val="00603402"/>
    <w:rsid w:val="006141B3"/>
    <w:rsid w:val="00633BD8"/>
    <w:rsid w:val="00695F9B"/>
    <w:rsid w:val="006A45AB"/>
    <w:rsid w:val="006A4890"/>
    <w:rsid w:val="006B1F50"/>
    <w:rsid w:val="006B7777"/>
    <w:rsid w:val="006C7A6F"/>
    <w:rsid w:val="006D485C"/>
    <w:rsid w:val="00703062"/>
    <w:rsid w:val="00703EDA"/>
    <w:rsid w:val="00723337"/>
    <w:rsid w:val="00743478"/>
    <w:rsid w:val="007A0CF5"/>
    <w:rsid w:val="0081093B"/>
    <w:rsid w:val="008175F4"/>
    <w:rsid w:val="008370F3"/>
    <w:rsid w:val="00865B8E"/>
    <w:rsid w:val="008905BC"/>
    <w:rsid w:val="00893B96"/>
    <w:rsid w:val="008A1B46"/>
    <w:rsid w:val="008A41EE"/>
    <w:rsid w:val="008C6811"/>
    <w:rsid w:val="008D4E55"/>
    <w:rsid w:val="0090217E"/>
    <w:rsid w:val="00905F43"/>
    <w:rsid w:val="00963C8D"/>
    <w:rsid w:val="009879AE"/>
    <w:rsid w:val="009A0D70"/>
    <w:rsid w:val="009C31A6"/>
    <w:rsid w:val="009F083C"/>
    <w:rsid w:val="00A62CC4"/>
    <w:rsid w:val="00A71F36"/>
    <w:rsid w:val="00A77CEB"/>
    <w:rsid w:val="00A81955"/>
    <w:rsid w:val="00AB63E9"/>
    <w:rsid w:val="00AC6049"/>
    <w:rsid w:val="00AF65A5"/>
    <w:rsid w:val="00B35A5A"/>
    <w:rsid w:val="00B55B82"/>
    <w:rsid w:val="00B67762"/>
    <w:rsid w:val="00BA35F3"/>
    <w:rsid w:val="00BB5672"/>
    <w:rsid w:val="00BF1006"/>
    <w:rsid w:val="00C650ED"/>
    <w:rsid w:val="00C7577E"/>
    <w:rsid w:val="00C76433"/>
    <w:rsid w:val="00C84FC4"/>
    <w:rsid w:val="00C97745"/>
    <w:rsid w:val="00CA2D63"/>
    <w:rsid w:val="00CC1151"/>
    <w:rsid w:val="00CF3F97"/>
    <w:rsid w:val="00D35FE2"/>
    <w:rsid w:val="00DE67DB"/>
    <w:rsid w:val="00E153FC"/>
    <w:rsid w:val="00E338A9"/>
    <w:rsid w:val="00E36985"/>
    <w:rsid w:val="00E50633"/>
    <w:rsid w:val="00E54EB3"/>
    <w:rsid w:val="00E57050"/>
    <w:rsid w:val="00E64652"/>
    <w:rsid w:val="00E849CD"/>
    <w:rsid w:val="00EC1A9D"/>
    <w:rsid w:val="00ED6FAF"/>
    <w:rsid w:val="00EF3E3D"/>
    <w:rsid w:val="00EF5969"/>
    <w:rsid w:val="00F05071"/>
    <w:rsid w:val="00F2635A"/>
    <w:rsid w:val="00F31021"/>
    <w:rsid w:val="00F71562"/>
    <w:rsid w:val="00F85FBD"/>
    <w:rsid w:val="00FA1A0E"/>
    <w:rsid w:val="00FC7229"/>
    <w:rsid w:val="00FF5A59"/>
    <w:rsid w:val="55EC357E"/>
    <w:rsid w:val="7255388A"/>
    <w:rsid w:val="78F6438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iPriority w:val="99"/>
    <w:pPr>
      <w:tabs>
        <w:tab w:val="center" w:pos="4153"/>
        <w:tab w:val="right" w:pos="8306"/>
      </w:tabs>
      <w:snapToGrid w:val="0"/>
      <w:jc w:val="left"/>
    </w:pPr>
    <w:rPr>
      <w:sz w:val="18"/>
      <w:szCs w:val="18"/>
    </w:rPr>
  </w:style>
  <w:style w:type="paragraph" w:styleId="3">
    <w:name w:val="header"/>
    <w:basedOn w:val="1"/>
    <w:link w:val="8"/>
    <w:semiHidden/>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7">
    <w:name w:val="List Paragraph"/>
    <w:basedOn w:val="1"/>
    <w:qFormat/>
    <w:uiPriority w:val="99"/>
    <w:pPr>
      <w:ind w:firstLine="420" w:firstLineChars="200"/>
    </w:pPr>
  </w:style>
  <w:style w:type="character" w:customStyle="1" w:styleId="8">
    <w:name w:val="页眉 Char"/>
    <w:basedOn w:val="6"/>
    <w:link w:val="3"/>
    <w:semiHidden/>
    <w:locked/>
    <w:uiPriority w:val="99"/>
    <w:rPr>
      <w:rFonts w:ascii="Times New Roman" w:hAnsi="Times New Roman" w:eastAsia="宋体" w:cs="Times New Roman"/>
      <w:sz w:val="18"/>
      <w:szCs w:val="18"/>
    </w:rPr>
  </w:style>
  <w:style w:type="character" w:customStyle="1" w:styleId="9">
    <w:name w:val="页脚 Char"/>
    <w:basedOn w:val="6"/>
    <w:link w:val="2"/>
    <w:semiHidden/>
    <w:locked/>
    <w:uiPriority w:val="99"/>
    <w:rPr>
      <w:rFonts w:ascii="Times New Roman" w:hAnsi="Times New Roman" w:eastAsia="宋体" w:cs="Times New Roman"/>
      <w:sz w:val="18"/>
      <w:szCs w:val="18"/>
    </w:rPr>
  </w:style>
  <w:style w:type="paragraph" w:customStyle="1" w:styleId="10">
    <w:name w:val="样式1"/>
    <w:basedOn w:val="1"/>
    <w:uiPriority w:val="99"/>
    <w:pPr>
      <w:spacing w:line="520" w:lineRule="exact"/>
      <w:ind w:firstLine="200" w:firstLineChars="200"/>
    </w:pPr>
    <w:rPr>
      <w:rFonts w:ascii="仿宋_GB2312" w:eastAsia="仿宋_GB2312"/>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2B4BA6-9C65-4762-9BA1-7E7773ECF100}">
  <ds:schemaRefs/>
</ds:datastoreItem>
</file>

<file path=docProps/app.xml><?xml version="1.0" encoding="utf-8"?>
<Properties xmlns="http://schemas.openxmlformats.org/officeDocument/2006/extended-properties" xmlns:vt="http://schemas.openxmlformats.org/officeDocument/2006/docPropsVTypes">
  <Template>Normal.dotm</Template>
  <Pages>10</Pages>
  <Words>722</Words>
  <Characters>4119</Characters>
  <Lines>34</Lines>
  <Paragraphs>9</Paragraphs>
  <TotalTime>21</TotalTime>
  <ScaleCrop>false</ScaleCrop>
  <LinksUpToDate>false</LinksUpToDate>
  <CharactersWithSpaces>4832</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2019-08-03T23:19:00Z</dcterms:created>
  <dc:creator>tzg</dc:creator>
  <cp:lastModifiedBy>Administrator</cp:lastModifiedBy>
  <cp:lastPrinted>2018-05-22T02:40:00Z</cp:lastPrinted>
  <dcterms:modified xsi:type="dcterms:W3CDTF">2019-08-26T03:50:36Z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