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r>
        <w:rPr>
          <w:rFonts w:hint="eastAsia" w:ascii="方正小标宋_GBK" w:eastAsia="方正小标宋_GBK"/>
          <w:spacing w:val="-8"/>
          <w:sz w:val="52"/>
          <w:szCs w:val="52"/>
        </w:rPr>
        <w:t>邢台市部门工作活动</w:t>
      </w:r>
      <w:r>
        <w:rPr>
          <w:rFonts w:ascii="方正小标宋_GBK" w:eastAsia="方正小标宋_GBK"/>
          <w:spacing w:val="-8"/>
          <w:sz w:val="52"/>
          <w:szCs w:val="52"/>
        </w:rPr>
        <w:t>(</w:t>
      </w:r>
      <w:r>
        <w:rPr>
          <w:rFonts w:hint="eastAsia" w:ascii="方正小标宋_GBK" w:eastAsia="方正小标宋_GBK"/>
          <w:spacing w:val="-8"/>
          <w:sz w:val="52"/>
          <w:szCs w:val="52"/>
        </w:rPr>
        <w:t>项目</w:t>
      </w:r>
      <w:r>
        <w:rPr>
          <w:rFonts w:ascii="方正小标宋_GBK" w:eastAsia="方正小标宋_GBK"/>
          <w:spacing w:val="-8"/>
          <w:sz w:val="52"/>
          <w:szCs w:val="52"/>
        </w:rPr>
        <w:t>)</w:t>
      </w:r>
    </w:p>
    <w:p>
      <w:pPr>
        <w:jc w:val="center"/>
        <w:rPr>
          <w:rFonts w:ascii="方正小标宋_GBK" w:eastAsia="方正小标宋_GBK"/>
          <w:spacing w:val="-8"/>
          <w:sz w:val="52"/>
          <w:szCs w:val="52"/>
        </w:rPr>
      </w:pPr>
      <w:r>
        <w:rPr>
          <w:rFonts w:hint="eastAsia" w:ascii="方正小标宋_GBK" w:eastAsia="方正小标宋_GBK"/>
          <w:spacing w:val="-8"/>
          <w:sz w:val="52"/>
          <w:szCs w:val="52"/>
        </w:rPr>
        <w:t>绩效评价自评报告</w:t>
      </w:r>
    </w:p>
    <w:p>
      <w:pPr>
        <w:jc w:val="center"/>
        <w:rPr>
          <w:sz w:val="44"/>
          <w:szCs w:val="44"/>
        </w:rPr>
      </w:pPr>
      <w:r>
        <w:rPr>
          <w:rFonts w:hint="eastAsia"/>
          <w:sz w:val="44"/>
          <w:szCs w:val="44"/>
        </w:rPr>
        <w:t>（</w:t>
      </w:r>
      <w:r>
        <w:rPr>
          <w:sz w:val="44"/>
          <w:szCs w:val="44"/>
        </w:rPr>
        <w:t>201</w:t>
      </w:r>
      <w:r>
        <w:rPr>
          <w:rFonts w:hint="eastAsia"/>
          <w:sz w:val="44"/>
          <w:szCs w:val="44"/>
        </w:rPr>
        <w:t>8年度）</w:t>
      </w:r>
    </w:p>
    <w:p/>
    <w:p>
      <w:bookmarkStart w:id="0" w:name="_GoBack"/>
      <w:bookmarkEnd w:id="0"/>
    </w:p>
    <w:p/>
    <w:p/>
    <w:p/>
    <w:p/>
    <w:p/>
    <w:p/>
    <w:p/>
    <w:p/>
    <w:p/>
    <w:p>
      <w:pPr>
        <w:rPr>
          <w:rFonts w:ascii="宋体" w:hAnsi="宋体"/>
          <w:sz w:val="32"/>
          <w:szCs w:val="32"/>
        </w:rPr>
      </w:pPr>
      <w:r>
        <w:rPr>
          <w:rFonts w:hint="eastAsia" w:ascii="宋体" w:hAnsi="宋体"/>
          <w:sz w:val="32"/>
          <w:szCs w:val="32"/>
        </w:rPr>
        <w:t>项目名称：玉米育种南繁加代和优良组合的多点生态适应性鉴定</w:t>
      </w:r>
    </w:p>
    <w:p>
      <w:pPr>
        <w:rPr>
          <w:rFonts w:ascii="宋体"/>
          <w:sz w:val="32"/>
          <w:szCs w:val="32"/>
        </w:rPr>
      </w:pPr>
      <w:r>
        <w:rPr>
          <w:rFonts w:hint="eastAsia" w:ascii="宋体" w:hAnsi="宋体"/>
          <w:sz w:val="32"/>
          <w:szCs w:val="32"/>
        </w:rPr>
        <w:t>项目承担单位：邢台市农业科学研究院（公章）</w:t>
      </w:r>
    </w:p>
    <w:p>
      <w:pPr>
        <w:rPr>
          <w:rFonts w:ascii="宋体"/>
          <w:sz w:val="32"/>
          <w:szCs w:val="32"/>
        </w:rPr>
      </w:pPr>
      <w:r>
        <w:rPr>
          <w:rFonts w:hint="eastAsia" w:ascii="宋体" w:hAnsi="宋体"/>
          <w:sz w:val="32"/>
          <w:szCs w:val="32"/>
        </w:rPr>
        <w:t>项目主管部门：邢台市财政局（公章）</w:t>
      </w:r>
    </w:p>
    <w:p>
      <w:pPr>
        <w:rPr>
          <w:rFonts w:ascii="宋体"/>
          <w:sz w:val="32"/>
          <w:szCs w:val="32"/>
        </w:rPr>
      </w:pPr>
      <w:r>
        <w:rPr>
          <w:rFonts w:hint="eastAsia" w:ascii="宋体" w:hAnsi="宋体"/>
          <w:sz w:val="32"/>
          <w:szCs w:val="32"/>
        </w:rPr>
        <w:t>组织方式：□财政部门</w:t>
      </w:r>
      <w:r>
        <w:rPr>
          <w:rFonts w:ascii="宋体" w:hAnsi="宋体"/>
          <w:sz w:val="32"/>
          <w:szCs w:val="32"/>
        </w:rPr>
        <w:t xml:space="preserve">   </w:t>
      </w:r>
      <w:r>
        <w:rPr>
          <w:rFonts w:hint="eastAsia" w:ascii="宋体" w:hAnsi="宋体"/>
          <w:sz w:val="32"/>
          <w:szCs w:val="32"/>
        </w:rPr>
        <w:t>□主管部门</w:t>
      </w:r>
      <w:r>
        <w:rPr>
          <w:rFonts w:ascii="宋体" w:hAnsi="宋体"/>
          <w:sz w:val="32"/>
          <w:szCs w:val="32"/>
        </w:rPr>
        <w:t xml:space="preserve">  </w:t>
      </w:r>
      <w:r>
        <w:rPr>
          <w:rFonts w:ascii="宋体" w:hAnsi="宋体"/>
          <w:sz w:val="32"/>
          <w:szCs w:val="32"/>
        </w:rPr>
        <w:sym w:font="Wingdings 2" w:char="0052"/>
      </w:r>
      <w:r>
        <w:rPr>
          <w:rFonts w:hint="eastAsia" w:ascii="宋体" w:hAnsi="宋体"/>
          <w:sz w:val="32"/>
          <w:szCs w:val="32"/>
        </w:rPr>
        <w:t>实施单位</w:t>
      </w:r>
    </w:p>
    <w:p>
      <w:pPr>
        <w:rPr>
          <w:rFonts w:ascii="宋体"/>
          <w:sz w:val="32"/>
          <w:szCs w:val="32"/>
        </w:rPr>
      </w:pPr>
      <w:r>
        <w:rPr>
          <w:rFonts w:hint="eastAsia" w:ascii="宋体" w:hAnsi="宋体"/>
          <w:sz w:val="32"/>
          <w:szCs w:val="32"/>
        </w:rPr>
        <w:t>评价机构：□中介机构</w:t>
      </w:r>
      <w:r>
        <w:rPr>
          <w:rFonts w:ascii="宋体" w:hAnsi="宋体"/>
          <w:sz w:val="32"/>
          <w:szCs w:val="32"/>
        </w:rPr>
        <w:t xml:space="preserve">   </w:t>
      </w:r>
      <w:r>
        <w:rPr>
          <w:rFonts w:hint="eastAsia" w:ascii="宋体" w:hAnsi="宋体"/>
          <w:sz w:val="32"/>
          <w:szCs w:val="32"/>
        </w:rPr>
        <w:t>□专家组</w:t>
      </w:r>
      <w:r>
        <w:rPr>
          <w:rFonts w:ascii="宋体" w:hAnsi="宋体"/>
          <w:sz w:val="32"/>
          <w:szCs w:val="32"/>
        </w:rPr>
        <w:t xml:space="preserve">    </w:t>
      </w:r>
      <w:r>
        <w:rPr>
          <w:rFonts w:ascii="宋体" w:hAnsi="宋体"/>
          <w:sz w:val="32"/>
          <w:szCs w:val="32"/>
        </w:rPr>
        <w:sym w:font="Wingdings 2" w:char="0052"/>
      </w:r>
      <w:r>
        <w:rPr>
          <w:rFonts w:hint="eastAsia" w:ascii="宋体" w:hAnsi="宋体"/>
          <w:sz w:val="32"/>
          <w:szCs w:val="32"/>
        </w:rPr>
        <w:t>项目单位评价组</w:t>
      </w:r>
    </w:p>
    <w:p>
      <w:pPr>
        <w:rPr>
          <w:rFonts w:ascii="宋体"/>
          <w:sz w:val="32"/>
          <w:szCs w:val="32"/>
        </w:rPr>
      </w:pPr>
      <w:r>
        <w:rPr>
          <w:rFonts w:hint="eastAsia" w:ascii="宋体" w:hAnsi="宋体"/>
          <w:sz w:val="32"/>
          <w:szCs w:val="32"/>
        </w:rPr>
        <w:t>评价类型：□预算申报前评价</w:t>
      </w:r>
      <w:r>
        <w:rPr>
          <w:rFonts w:ascii="宋体" w:hAnsi="宋体"/>
          <w:sz w:val="32"/>
          <w:szCs w:val="32"/>
        </w:rPr>
        <w:t xml:space="preserve"> </w:t>
      </w:r>
      <w:r>
        <w:rPr>
          <w:rFonts w:hint="eastAsia" w:ascii="宋体" w:hAnsi="宋体"/>
          <w:sz w:val="32"/>
          <w:szCs w:val="32"/>
        </w:rPr>
        <w:t>□实施过程评价</w:t>
      </w:r>
      <w:r>
        <w:rPr>
          <w:rFonts w:ascii="宋体" w:hAnsi="宋体"/>
          <w:sz w:val="32"/>
          <w:szCs w:val="32"/>
        </w:rPr>
        <w:t xml:space="preserve"> </w:t>
      </w:r>
      <w:r>
        <w:rPr>
          <w:rFonts w:ascii="宋体" w:hAnsi="宋体"/>
          <w:sz w:val="32"/>
          <w:szCs w:val="32"/>
        </w:rPr>
        <w:sym w:font="Wingdings 2" w:char="0052"/>
      </w:r>
      <w:r>
        <w:rPr>
          <w:rFonts w:hint="eastAsia" w:ascii="宋体" w:hAnsi="宋体"/>
          <w:sz w:val="32"/>
          <w:szCs w:val="32"/>
        </w:rPr>
        <w:t>完成结果评价</w:t>
      </w:r>
    </w:p>
    <w:p>
      <w:pPr>
        <w:rPr>
          <w:rFonts w:ascii="宋体"/>
          <w:sz w:val="32"/>
          <w:szCs w:val="32"/>
        </w:rPr>
      </w:pPr>
    </w:p>
    <w:p>
      <w:pPr>
        <w:jc w:val="center"/>
        <w:rPr>
          <w:rFonts w:hint="default" w:ascii="Times New Roman" w:hAnsi="Times New Roman" w:cs="Times New Roman"/>
          <w:sz w:val="32"/>
          <w:szCs w:val="32"/>
        </w:rPr>
      </w:pPr>
      <w:r>
        <w:rPr>
          <w:rFonts w:hint="default" w:ascii="Times New Roman" w:hAnsi="Times New Roman" w:cs="Times New Roman"/>
          <w:sz w:val="32"/>
          <w:szCs w:val="32"/>
        </w:rPr>
        <w:t>2019 年8 月 15日</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一、项目概况</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（一）政府战略规划或目标。</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1、南繁加代和育种</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南繁加代技术利用海南的热量资源，可以实现一年两代种植玉米。冬季北方农闲季节在海南种植玉米育种材料，进行初代自交系的选择加代、高代自交系的繁殖、杂交组合的组配和优良品种的小制种等科研工作，将大大缩短玉米育种的进程，是加快科研进度、快出成果的有效途径。</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国务院办公厅《关于深化种业体制改革提高创新能力的意见》（国办发〔2013〕109号）指出：在海南三亚、陵水、乐东等区域划定南繁科研育种保护区，实行用途管制，纳入基本农田范围予以永久保护。研究建立中央、地方、社会资本多元化投资机制，建设南繁科研育种基地。2015年10月28日，农业部、国家发改委、财政部、国土资源部、海南省政府联合印发《国家南繁科研育种基地（海南）建设规划（2015-2025年）》，明确划定了26.8万亩科研育种保护区。可以说，南繁加代几乎是现代种业科研育种的必备程序，南繁基地是国家稀缺的、不可替代的战略资源。规划是南繁发展史上的一个里程碑，加快推进南繁基地建设，力争用5-10年时间，把南繁基地打造成为服务全国的用地稳定、运行顺畅、监管有力、服务高效的科研育种平台。</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我院南繁基地位于海南省三亚市崖州区长山村。在市财政多年的支持下，已具备玉米育种加代的基本条件要求。</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（二）玉米组合的生态适应性鉴定</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每轮南繁所收获的优良杂交组合，将在6～10月在河北省内甚至在东华北区、黄淮海区域进行多点的试验鉴定，以确定这些组合的生态适应性，根据综合表现筛选出相应的优良组合，申报参加河北省或东华北、黄淮海等区域的预备试验或区域试验，以便在不同区域审定品种，才能进行大面积的示范推广，实现成果转化，产生社会经济效益。</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我们已在河北省建立了较完善的测试体系，通过该项目的实施将在黄淮海区域和东华北区域逐步建立和完善玉米品种的生态适应性鉴定体系。</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（二）单位工作目标。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通过南繁加代，实现一年两个世代进行种质创新、自交系选育和优良组合配制；通过多点生态适应性鉴定，快速有效地鉴定出优良品种参加省级试验。</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（三）工作活动(项目)基本情况。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1.项目背景资料。</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项目名称为“玉米育种南繁加代和优良组合的多点生态适应性鉴定”，主要内容包括初代自交系的加代选择；高代自交系的繁殖和杂交组配、优良杂交组合的小制种及其生态适应性多点鉴定。通过该项目的连续实施，一年两个世代进行玉米育种，结合生态适应性多点鉴定，最终达到缩短玉米育种进程，提高育种和鉴定效率，多出品种、快出品种、出大品种的目的，为玉米产业发展做出贡献。</w:t>
      </w:r>
    </w:p>
    <w:p>
      <w:pPr>
        <w:spacing w:line="560" w:lineRule="exact"/>
        <w:ind w:firstLine="640" w:firstLineChars="200"/>
        <w:rPr>
          <w:rFonts w:hint="default" w:ascii="Times New Roman" w:hAnsi="Times New Roman" w:cs="Times New Roman"/>
          <w:color w:val="000000"/>
          <w:sz w:val="32"/>
          <w:szCs w:val="32"/>
        </w:rPr>
      </w:pPr>
      <w:r>
        <w:rPr>
          <w:rFonts w:hint="default" w:ascii="Times New Roman" w:hAnsi="Times New Roman" w:cs="Times New Roman"/>
          <w:color w:val="000000"/>
          <w:sz w:val="32"/>
          <w:szCs w:val="32"/>
        </w:rPr>
        <w:t>我院南繁基地位于海南省三亚市崖州区长山村，常年种植农作物南繁材料14亩左右，地势平坦，土壤肥力较高，水利条件好，已被国家纳入三亚保护性南繁基地。生态适应性鉴定主要指河北省内及黄淮海生态区的多点鉴定，我院在多年育种实践中，已完善了省内夏播区的测试体系，在此基础上，通过本项目的实施，将逐步完善黄淮海区（重点发展河南、山东）的品种测试体系。</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2.项目的可行性、必要性、有效性及其论证过程。</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目前玉米种业竞争相当惨烈，国外跨国公司、国内科研单位和种业公司都在海南进行南繁基地建设，进行南繁加代，同时加大力度，科学设置各个玉米生态区的品种测试体系。所以南繁加代及品种生态适应性多点鉴定对于我院玉米育种的争先进位，快出成果，促进我省玉米产业可持续发展具有重要意义。</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我院在海南崖州区长山村建有南繁基地，土地保水保肥能力强，具有基本配套设施，科研人员南繁经验丰富，为此项目的执行提供了强有力的技术支撑和条件保障。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本项目的实施可加快玉米种质创新、自交系选育和品种培育的速度，提高玉米育种成效。</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本项目在申报前经过我院学术委员会的论证，认为项目的实施十分必要，切实可行，前景广阔。</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二、项目绩效目标和指标设定情况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（一）项目总目标、年度目标设定情况。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本项目设立的年度目标如下：</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1、南繁面积7亩。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2、种植玉米自交系600份，其中自交系加代100份。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3、组配杂交组合700个。</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4、完成优良组合小制种12个。</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5、设置生态适应性多点鉴定6个</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6、参加省级以上预试或区域试验（含联合体）组合4个。</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通过项目实施，一个育种周期缩短育种年限3-4年，参试品种较对照增产3%以上。</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（二）项目绩效指标设定情况。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1、产出指标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（1）数量指标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南繁面积7亩，种植玉米自交系600份，其中自交系加代100份；组配杂交组合（包括测配和复配）700个，南繁小制种12个；生态适应性鉴定试点6个，参加省级以上试验（预试、区试、生试）品种4个。</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（2）质量指标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试验田出苗率70%以上，组合小制种种子合格率72%。</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（3）成本指标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完成年度投入10万元。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（4）时效指标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3月底完成上一轮南繁收获工作，11月上中旬完成下一轮南繁播种工作。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2、效果指标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（1）经济效益指标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一个育种周期可缩短育种年限3～4年；参试品种（普通类）较对照增产3%以上。</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（2）社会效益指标。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促进玉米育种及玉米产业的发展。</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（3）可持续发展效益指标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 xml:space="preserve">项目可持续影响品种参加各级试验的提前效应。 </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三、项目实施绩效管理情况及取得成绩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（一）计划制定和落实情况。</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1、计划制定和工作过程</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上年度11月份制定17～18年度南繁计划，11～12月进行播种及前期管理；2018年1～3月份进行授粉、中后期管理、自交系选择、收获、晾晒和脱粒工作；2018年11月份制定18～19年度南繁计划，2018年11～12月进行播种、苗期管理等项工作。</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2、采取的主要措施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（1）领导重视，及早谋划。</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由于玉米南繁属于跨年度的项目，执行期间为当年11月至次年3月。在项目申报前后，项目组及早谋划，针对项目多次讨论南繁育种的相关事项，11月初制定出实施方案，并按时完成项目的播种、苗期管理和授粉工作，所以在2018年项目下达之后，才能按计划完成任务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（2）抓住关键，做好田间管理。</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①南繁内容突出重点。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由于南繁受财力、人力诸方面影响，一般种质资源创新和选系规模小于北方夏播种植的规模，所以制定计划时优先保证表现优良需要参加省级以上试验品种的小制种规模；其次是需要参加多点生态适应性鉴定、品比试验等组合杂交规模；第三是考虑上述组合（品种）亲本的繁殖数量；第四是考虑早代测配或定向组配材料的种植。</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②田间管理不松懈。</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南繁被育种人员称为“难烦”，其原因之一就是处于特殊的气候和环境下，如果田间管理不当就会造成严重减产、甚至绝收的败局，比如播种后遭遇台风和暴雨受淹不出苗、播期过晚虫害严重或受低温危害、出苗时或收获前鼠害严重、生长期间病虫草害频发等等。所以我们采取稳健而科学栽培管理措施，加上关键时期、关键措施，项目组成员严格督查甚至亲力亲为，做到了苗全苗壮、产量高、种子质量好，保证了项目任务目标的圆满完成。</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（3）南繁加代田间管理技术要点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①适时播种。</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播种的最佳时间最好在11 月上、中旬，11月5～10日最佳。播种过早，容易受台风危害，造成毁苗。播种过晚，易受低温和虫害。</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②精细整地。</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由于土质较粘，为便于灌溉和排水，多采用起垄种植的方法，垄宽一般在50-60cm，起垄前撒施基肥同时施用 5% 的毒死蜱颗粒剂，防治地下害虫。</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③科学水肥管理。</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起垄播种后，应立即进行微喷灌溉，确保一播全苗。自交系不需要进行蹲苗，遇旱及时喷水。播前结合整地，亩施高质量复合肥30-40kg，在拔节期和授粉后结合浇水分两次追肥。</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④做好病虫草害防治。</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第一，播种后出苗前施用甲草胺（金都尔）进行田间封闭，苗后发生杂草采用苞卫或金玉普瑞防治，授粉后有杂草采用百草枯定向喷雾防治；第二，出苗时和灌浆后期注意防治鼠害；大喇叭口期至授粉结束一般喷药3次防治玉米螟和蚜虫；第三，自交系繁殖或制种田注意防治南方锈病。</w:t>
      </w:r>
    </w:p>
    <w:p>
      <w:pPr>
        <w:spacing w:line="560" w:lineRule="exact"/>
        <w:ind w:firstLine="800" w:firstLineChars="250"/>
        <w:rPr>
          <w:rFonts w:hint="default" w:ascii="Times New Roman" w:hAnsi="Times New Roman" w:cs="Times New Roman"/>
          <w:sz w:val="32"/>
          <w:szCs w:val="32"/>
        </w:rPr>
      </w:pPr>
      <w:r>
        <w:rPr>
          <w:rFonts w:hint="default" w:ascii="Times New Roman" w:hAnsi="Times New Roman" w:cs="Times New Roman"/>
          <w:sz w:val="32"/>
          <w:szCs w:val="32"/>
        </w:rPr>
        <w:t>3、项目实施结果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（1）南繁种植面积7.02亩。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（2）种植玉米自交系729份。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其中窄基群体2个，高代自交系繁殖加代81份，s4代材料136份，多点鉴定和省级试验组合的母本材料60份，品比试验组合的母本材料96份，用于初比测配的材料247份，父本材料109份。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（3）组配杂交组合1250个。</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其中参加品比、组合鉴定和初比的组合1187个，其余63个（其中小制种12个）参加省级以上区域试验、不同层次的省内多点鉴定、黄淮海生态适应性试验、种子企业多点鉴定等试验。</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（4）参加省级试验的品种</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共有9个组合参加了省级以上试验，其中参加区试和生试的品种6个。</w:t>
      </w:r>
    </w:p>
    <w:p>
      <w:pPr>
        <w:pStyle w:val="7"/>
        <w:numPr>
          <w:ilvl w:val="0"/>
          <w:numId w:val="0"/>
        </w:num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sym w:font="Wingdings" w:char="F081"/>
      </w:r>
      <w:r>
        <w:rPr>
          <w:rFonts w:hint="default" w:ascii="Times New Roman" w:hAnsi="Times New Roman" w:cs="Times New Roman"/>
          <w:sz w:val="32"/>
          <w:szCs w:val="32"/>
        </w:rPr>
        <w:t>邢玉381和京英602（邢玉18）参加了河北省夏播玉米高密生产试验，完成了试验程序。</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sym w:font="Wingdings" w:char="F082"/>
      </w:r>
      <w:r>
        <w:rPr>
          <w:rFonts w:hint="default" w:ascii="Times New Roman" w:hAnsi="Times New Roman" w:cs="Times New Roman"/>
          <w:sz w:val="32"/>
          <w:szCs w:val="32"/>
        </w:rPr>
        <w:t>邢青4号和邢玉513分别参加了河北省夏玉米青贮和机收组区域试验（第1年）。</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sym w:font="Wingdings" w:char="F083"/>
      </w:r>
      <w:r>
        <w:rPr>
          <w:rFonts w:hint="default" w:ascii="Times New Roman" w:hAnsi="Times New Roman" w:cs="Times New Roman"/>
          <w:sz w:val="32"/>
          <w:szCs w:val="32"/>
        </w:rPr>
        <w:t>邢玉282和邢玉803参加河北众城联合体夏播玉米高密组区域试验（第1年）。</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（5）南繁加代达到了预期的质量指标。</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南繁加代出苗率81%，繁殖和组合制种的种子合格率85%，均超过了预期的指标。</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（6）项目的效果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轮南繁种子收获后，有9个品种参加了2018年省级以上区域试验和预备试验，其中邢玉381和京英602参加了河北省夏玉米生产试验，完成了试验程序并于2019年5月通过了河北省审定；邢青4号、邢玉282试验结果较好，晋级下年度试验。试验主要结果详见表1：</w:t>
      </w:r>
    </w:p>
    <w:p>
      <w:pPr>
        <w:spacing w:line="560" w:lineRule="exact"/>
        <w:jc w:val="center"/>
        <w:rPr>
          <w:rFonts w:hint="default" w:ascii="Times New Roman" w:hAnsi="Times New Roman" w:cs="Times New Roman"/>
          <w:b/>
          <w:sz w:val="24"/>
        </w:rPr>
      </w:pPr>
      <w:r>
        <w:rPr>
          <w:rFonts w:hint="default" w:ascii="Times New Roman" w:hAnsi="Times New Roman" w:cs="Times New Roman"/>
          <w:b/>
          <w:sz w:val="24"/>
        </w:rPr>
        <w:t>表1  参加省级试验晋级品种试验结果</w:t>
      </w:r>
    </w:p>
    <w:tbl>
      <w:tblPr>
        <w:tblStyle w:val="5"/>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268"/>
        <w:gridCol w:w="1267"/>
        <w:gridCol w:w="990"/>
        <w:gridCol w:w="1130"/>
        <w:gridCol w:w="1126"/>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tcPr>
          <w:p>
            <w:pPr>
              <w:spacing w:line="560" w:lineRule="exact"/>
              <w:jc w:val="center"/>
              <w:rPr>
                <w:rFonts w:hint="default" w:ascii="Times New Roman" w:hAnsi="Times New Roman" w:cs="Times New Roman"/>
                <w:szCs w:val="21"/>
              </w:rPr>
            </w:pPr>
            <w:r>
              <w:rPr>
                <w:rFonts w:hint="default" w:ascii="Times New Roman" w:hAnsi="Times New Roman" w:cs="Times New Roman"/>
                <w:szCs w:val="21"/>
              </w:rPr>
              <w:t>序号</w:t>
            </w:r>
          </w:p>
        </w:tc>
        <w:tc>
          <w:tcPr>
            <w:tcW w:w="1268" w:type="dxa"/>
          </w:tcPr>
          <w:p>
            <w:pPr>
              <w:spacing w:line="560" w:lineRule="exact"/>
              <w:jc w:val="center"/>
              <w:rPr>
                <w:rFonts w:hint="default" w:ascii="Times New Roman" w:hAnsi="Times New Roman" w:cs="Times New Roman"/>
                <w:szCs w:val="21"/>
              </w:rPr>
            </w:pPr>
            <w:r>
              <w:rPr>
                <w:rFonts w:hint="default" w:ascii="Times New Roman" w:hAnsi="Times New Roman" w:cs="Times New Roman"/>
                <w:szCs w:val="21"/>
              </w:rPr>
              <w:t>品种</w:t>
            </w:r>
          </w:p>
        </w:tc>
        <w:tc>
          <w:tcPr>
            <w:tcW w:w="1267" w:type="dxa"/>
          </w:tcPr>
          <w:p>
            <w:pPr>
              <w:spacing w:line="560" w:lineRule="exact"/>
              <w:jc w:val="center"/>
              <w:rPr>
                <w:rFonts w:hint="default" w:ascii="Times New Roman" w:hAnsi="Times New Roman" w:cs="Times New Roman"/>
                <w:szCs w:val="21"/>
              </w:rPr>
            </w:pPr>
            <w:r>
              <w:rPr>
                <w:rFonts w:hint="default" w:ascii="Times New Roman" w:hAnsi="Times New Roman" w:cs="Times New Roman"/>
                <w:szCs w:val="21"/>
              </w:rPr>
              <w:t>试验类别</w:t>
            </w:r>
          </w:p>
        </w:tc>
        <w:tc>
          <w:tcPr>
            <w:tcW w:w="990" w:type="dxa"/>
          </w:tcPr>
          <w:p>
            <w:pPr>
              <w:spacing w:line="560" w:lineRule="exact"/>
              <w:jc w:val="center"/>
              <w:rPr>
                <w:rFonts w:hint="default" w:ascii="Times New Roman" w:hAnsi="Times New Roman" w:cs="Times New Roman"/>
                <w:szCs w:val="21"/>
              </w:rPr>
            </w:pPr>
            <w:r>
              <w:rPr>
                <w:rFonts w:hint="default" w:ascii="Times New Roman" w:hAnsi="Times New Roman" w:cs="Times New Roman"/>
                <w:szCs w:val="21"/>
              </w:rPr>
              <w:t>亩产（kg）</w:t>
            </w:r>
          </w:p>
        </w:tc>
        <w:tc>
          <w:tcPr>
            <w:tcW w:w="1130" w:type="dxa"/>
          </w:tcPr>
          <w:p>
            <w:pPr>
              <w:spacing w:line="560" w:lineRule="exact"/>
              <w:jc w:val="center"/>
              <w:rPr>
                <w:rFonts w:hint="default" w:ascii="Times New Roman" w:hAnsi="Times New Roman" w:cs="Times New Roman"/>
                <w:szCs w:val="21"/>
              </w:rPr>
            </w:pPr>
            <w:r>
              <w:rPr>
                <w:rFonts w:hint="default" w:ascii="Times New Roman" w:hAnsi="Times New Roman" w:cs="Times New Roman"/>
                <w:szCs w:val="21"/>
              </w:rPr>
              <w:t>较ck增产（%）</w:t>
            </w:r>
          </w:p>
        </w:tc>
        <w:tc>
          <w:tcPr>
            <w:tcW w:w="1126" w:type="dxa"/>
          </w:tcPr>
          <w:p>
            <w:pPr>
              <w:spacing w:line="560" w:lineRule="exact"/>
              <w:jc w:val="center"/>
              <w:rPr>
                <w:rFonts w:hint="default" w:ascii="Times New Roman" w:hAnsi="Times New Roman" w:cs="Times New Roman"/>
                <w:szCs w:val="21"/>
              </w:rPr>
            </w:pPr>
            <w:r>
              <w:rPr>
                <w:rFonts w:hint="default" w:ascii="Times New Roman" w:hAnsi="Times New Roman" w:cs="Times New Roman"/>
                <w:szCs w:val="21"/>
              </w:rPr>
              <w:t>位次</w:t>
            </w:r>
          </w:p>
        </w:tc>
        <w:tc>
          <w:tcPr>
            <w:tcW w:w="2720" w:type="dxa"/>
          </w:tcPr>
          <w:p>
            <w:pPr>
              <w:spacing w:line="560" w:lineRule="exact"/>
              <w:jc w:val="center"/>
              <w:rPr>
                <w:rFonts w:hint="default" w:ascii="Times New Roman" w:hAnsi="Times New Roman" w:cs="Times New Roman"/>
                <w:szCs w:val="21"/>
              </w:rPr>
            </w:pPr>
            <w:r>
              <w:rPr>
                <w:rFonts w:hint="default" w:ascii="Times New Roman" w:hAnsi="Times New Roman" w:cs="Times New Roman"/>
                <w:szCs w:val="21"/>
              </w:rPr>
              <w:t>2019年晋级情况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1</w:t>
            </w:r>
          </w:p>
        </w:tc>
        <w:tc>
          <w:tcPr>
            <w:tcW w:w="1268"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邢玉381</w:t>
            </w:r>
          </w:p>
        </w:tc>
        <w:tc>
          <w:tcPr>
            <w:tcW w:w="1267"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省生试</w:t>
            </w:r>
          </w:p>
        </w:tc>
        <w:tc>
          <w:tcPr>
            <w:tcW w:w="99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635.1</w:t>
            </w:r>
          </w:p>
        </w:tc>
        <w:tc>
          <w:tcPr>
            <w:tcW w:w="113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5.8</w:t>
            </w:r>
          </w:p>
        </w:tc>
        <w:tc>
          <w:tcPr>
            <w:tcW w:w="1126"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2</w:t>
            </w:r>
          </w:p>
        </w:tc>
        <w:tc>
          <w:tcPr>
            <w:tcW w:w="272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通过河北省审定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2</w:t>
            </w:r>
          </w:p>
        </w:tc>
        <w:tc>
          <w:tcPr>
            <w:tcW w:w="1268"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邢玉18</w:t>
            </w:r>
          </w:p>
        </w:tc>
        <w:tc>
          <w:tcPr>
            <w:tcW w:w="1267"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省生试</w:t>
            </w:r>
          </w:p>
        </w:tc>
        <w:tc>
          <w:tcPr>
            <w:tcW w:w="99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623.3</w:t>
            </w:r>
          </w:p>
        </w:tc>
        <w:tc>
          <w:tcPr>
            <w:tcW w:w="113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4.5</w:t>
            </w:r>
          </w:p>
        </w:tc>
        <w:tc>
          <w:tcPr>
            <w:tcW w:w="1126"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6</w:t>
            </w:r>
          </w:p>
        </w:tc>
        <w:tc>
          <w:tcPr>
            <w:tcW w:w="272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通过河北省审定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3</w:t>
            </w:r>
          </w:p>
        </w:tc>
        <w:tc>
          <w:tcPr>
            <w:tcW w:w="1268"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邢青4号</w:t>
            </w:r>
          </w:p>
        </w:tc>
        <w:tc>
          <w:tcPr>
            <w:tcW w:w="1267"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省青贮区试</w:t>
            </w:r>
          </w:p>
        </w:tc>
        <w:tc>
          <w:tcPr>
            <w:tcW w:w="99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1142.6</w:t>
            </w:r>
          </w:p>
        </w:tc>
        <w:tc>
          <w:tcPr>
            <w:tcW w:w="113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0.8</w:t>
            </w:r>
          </w:p>
        </w:tc>
        <w:tc>
          <w:tcPr>
            <w:tcW w:w="1126"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6</w:t>
            </w:r>
          </w:p>
        </w:tc>
        <w:tc>
          <w:tcPr>
            <w:tcW w:w="272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晋级第二年区试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4</w:t>
            </w:r>
          </w:p>
        </w:tc>
        <w:tc>
          <w:tcPr>
            <w:tcW w:w="1268"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邢玉282</w:t>
            </w:r>
          </w:p>
        </w:tc>
        <w:tc>
          <w:tcPr>
            <w:tcW w:w="1267"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联合体区试</w:t>
            </w:r>
          </w:p>
        </w:tc>
        <w:tc>
          <w:tcPr>
            <w:tcW w:w="99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644.2</w:t>
            </w:r>
          </w:p>
        </w:tc>
        <w:tc>
          <w:tcPr>
            <w:tcW w:w="113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2.4</w:t>
            </w:r>
          </w:p>
        </w:tc>
        <w:tc>
          <w:tcPr>
            <w:tcW w:w="1126"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6</w:t>
            </w:r>
          </w:p>
        </w:tc>
        <w:tc>
          <w:tcPr>
            <w:tcW w:w="2720" w:type="dxa"/>
          </w:tcPr>
          <w:p>
            <w:pPr>
              <w:spacing w:line="560" w:lineRule="exact"/>
              <w:rPr>
                <w:rFonts w:hint="default" w:ascii="Times New Roman" w:hAnsi="Times New Roman" w:cs="Times New Roman"/>
                <w:szCs w:val="21"/>
              </w:rPr>
            </w:pPr>
            <w:r>
              <w:rPr>
                <w:rFonts w:hint="default" w:ascii="Times New Roman" w:hAnsi="Times New Roman" w:cs="Times New Roman"/>
                <w:szCs w:val="21"/>
              </w:rPr>
              <w:t>晋级区生同试</w:t>
            </w:r>
          </w:p>
        </w:tc>
      </w:tr>
    </w:tbl>
    <w:p>
      <w:pPr>
        <w:spacing w:line="560" w:lineRule="exact"/>
        <w:ind w:firstLine="640" w:firstLineChars="200"/>
        <w:rPr>
          <w:rFonts w:hint="default" w:ascii="Times New Roman" w:hAnsi="Times New Roman" w:cs="Times New Roman"/>
          <w:sz w:val="32"/>
          <w:szCs w:val="32"/>
        </w:rPr>
      </w:pP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南繁小制种22个组合参加了生态适应性多点鉴定试验，根据黄淮海河南、山东7个试点的试验结果汇总（详见表2），XY296、XY2966、XY392、XY393B、XY356、XY389、XY93B、XY470、XY464、XY8199、XY45、XY1088、XY117、XY426、XY8513等15个组合（品种），产量较郑单958增产10%以上，较参试组合均值不减产，增产点率70%以上，可结合在河北试点的田间表现和产量推荐参加下年度相关试验； XY390和XY165两个组合表现减产，予以淘汰。</w:t>
      </w:r>
    </w:p>
    <w:p>
      <w:pPr>
        <w:widowControl/>
        <w:jc w:val="left"/>
        <w:rPr>
          <w:rFonts w:hint="default" w:ascii="Times New Roman" w:hAnsi="Times New Roman" w:cs="Times New Roman"/>
          <w:sz w:val="32"/>
          <w:szCs w:val="32"/>
        </w:rPr>
        <w:sectPr>
          <w:footerReference r:id="rId4" w:type="first"/>
          <w:footerReference r:id="rId3" w:type="default"/>
          <w:pgSz w:w="11906" w:h="16838"/>
          <w:pgMar w:top="1440" w:right="1474" w:bottom="1440" w:left="1474" w:header="851" w:footer="992" w:gutter="0"/>
          <w:pgNumType w:start="0"/>
          <w:cols w:space="425" w:num="1"/>
          <w:titlePg/>
          <w:docGrid w:type="lines" w:linePitch="312" w:charSpace="0"/>
        </w:sectPr>
      </w:pPr>
    </w:p>
    <w:p>
      <w:pPr>
        <w:spacing w:line="560" w:lineRule="exact"/>
        <w:jc w:val="center"/>
        <w:rPr>
          <w:rFonts w:hint="default" w:ascii="Times New Roman" w:hAnsi="Times New Roman" w:cs="Times New Roman"/>
          <w:b/>
          <w:szCs w:val="21"/>
        </w:rPr>
      </w:pPr>
      <w:r>
        <w:rPr>
          <w:rFonts w:hint="default" w:ascii="Times New Roman" w:hAnsi="Times New Roman" w:cs="Times New Roman"/>
          <w:b/>
          <w:szCs w:val="21"/>
        </w:rPr>
        <w:t>表2 南繁组合参加黄淮海外省市多点鉴定试验情况</w:t>
      </w:r>
    </w:p>
    <w:tbl>
      <w:tblPr>
        <w:tblStyle w:val="4"/>
        <w:tblW w:w="13362" w:type="dxa"/>
        <w:tblInd w:w="93" w:type="dxa"/>
        <w:tblLayout w:type="fixed"/>
        <w:tblCellMar>
          <w:top w:w="0" w:type="dxa"/>
          <w:left w:w="108" w:type="dxa"/>
          <w:bottom w:w="0" w:type="dxa"/>
          <w:right w:w="108" w:type="dxa"/>
        </w:tblCellMar>
      </w:tblPr>
      <w:tblGrid>
        <w:gridCol w:w="700"/>
        <w:gridCol w:w="850"/>
        <w:gridCol w:w="576"/>
        <w:gridCol w:w="616"/>
        <w:gridCol w:w="660"/>
        <w:gridCol w:w="612"/>
        <w:gridCol w:w="668"/>
        <w:gridCol w:w="593"/>
        <w:gridCol w:w="647"/>
        <w:gridCol w:w="622"/>
        <w:gridCol w:w="678"/>
        <w:gridCol w:w="631"/>
        <w:gridCol w:w="689"/>
        <w:gridCol w:w="660"/>
        <w:gridCol w:w="720"/>
        <w:gridCol w:w="622"/>
        <w:gridCol w:w="678"/>
        <w:gridCol w:w="680"/>
        <w:gridCol w:w="600"/>
        <w:gridCol w:w="860"/>
      </w:tblGrid>
      <w:tr>
        <w:tblPrEx>
          <w:tblLayout w:type="fixed"/>
          <w:tblCellMar>
            <w:top w:w="0" w:type="dxa"/>
            <w:left w:w="108" w:type="dxa"/>
            <w:bottom w:w="0" w:type="dxa"/>
            <w:right w:w="108" w:type="dxa"/>
          </w:tblCellMar>
        </w:tblPrEx>
        <w:trPr>
          <w:trHeight w:val="300" w:hRule="atLeast"/>
        </w:trPr>
        <w:tc>
          <w:tcPr>
            <w:tcW w:w="700" w:type="dxa"/>
            <w:tcBorders>
              <w:top w:val="single" w:color="auto" w:sz="4" w:space="0"/>
              <w:left w:val="single" w:color="auto" w:sz="4" w:space="0"/>
              <w:bottom w:val="nil"/>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代号</w:t>
            </w:r>
          </w:p>
        </w:tc>
        <w:tc>
          <w:tcPr>
            <w:tcW w:w="850" w:type="dxa"/>
            <w:tcBorders>
              <w:top w:val="single" w:color="auto" w:sz="4" w:space="0"/>
              <w:left w:val="nil"/>
              <w:bottom w:val="nil"/>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品种</w:t>
            </w:r>
          </w:p>
        </w:tc>
        <w:tc>
          <w:tcPr>
            <w:tcW w:w="1192" w:type="dxa"/>
            <w:gridSpan w:val="2"/>
            <w:tcBorders>
              <w:top w:val="single" w:color="auto" w:sz="4" w:space="0"/>
              <w:left w:val="single" w:color="auto" w:sz="4" w:space="0"/>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河南荥阳</w:t>
            </w:r>
          </w:p>
        </w:tc>
        <w:tc>
          <w:tcPr>
            <w:tcW w:w="66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w:t>
            </w:r>
          </w:p>
        </w:tc>
        <w:tc>
          <w:tcPr>
            <w:tcW w:w="1280" w:type="dxa"/>
            <w:gridSpan w:val="2"/>
            <w:tcBorders>
              <w:top w:val="single" w:color="auto" w:sz="4" w:space="0"/>
              <w:left w:val="single" w:color="auto" w:sz="4" w:space="0"/>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河南滑县</w:t>
            </w:r>
          </w:p>
        </w:tc>
        <w:tc>
          <w:tcPr>
            <w:tcW w:w="1240" w:type="dxa"/>
            <w:gridSpan w:val="2"/>
            <w:tcBorders>
              <w:top w:val="single" w:color="auto" w:sz="4" w:space="0"/>
              <w:left w:val="single" w:color="auto" w:sz="4" w:space="0"/>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河南周口</w:t>
            </w:r>
          </w:p>
        </w:tc>
        <w:tc>
          <w:tcPr>
            <w:tcW w:w="1300" w:type="dxa"/>
            <w:gridSpan w:val="2"/>
            <w:tcBorders>
              <w:top w:val="single" w:color="auto" w:sz="4" w:space="0"/>
              <w:left w:val="single" w:color="auto" w:sz="4" w:space="0"/>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河南商丘</w:t>
            </w:r>
          </w:p>
        </w:tc>
        <w:tc>
          <w:tcPr>
            <w:tcW w:w="1320" w:type="dxa"/>
            <w:gridSpan w:val="2"/>
            <w:tcBorders>
              <w:top w:val="single" w:color="auto" w:sz="4" w:space="0"/>
              <w:left w:val="single" w:color="auto" w:sz="4" w:space="0"/>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山东胶州</w:t>
            </w:r>
          </w:p>
        </w:tc>
        <w:tc>
          <w:tcPr>
            <w:tcW w:w="1380" w:type="dxa"/>
            <w:gridSpan w:val="2"/>
            <w:tcBorders>
              <w:top w:val="single" w:color="auto" w:sz="4" w:space="0"/>
              <w:left w:val="single" w:color="auto" w:sz="4" w:space="0"/>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山东泰安</w:t>
            </w:r>
          </w:p>
        </w:tc>
        <w:tc>
          <w:tcPr>
            <w:tcW w:w="1300" w:type="dxa"/>
            <w:gridSpan w:val="2"/>
            <w:tcBorders>
              <w:top w:val="single" w:color="auto" w:sz="4" w:space="0"/>
              <w:left w:val="single" w:color="auto" w:sz="4" w:space="0"/>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山东济南</w:t>
            </w:r>
          </w:p>
        </w:tc>
        <w:tc>
          <w:tcPr>
            <w:tcW w:w="680" w:type="dxa"/>
            <w:tcBorders>
              <w:top w:val="single" w:color="auto" w:sz="4" w:space="0"/>
              <w:left w:val="single" w:color="auto" w:sz="4" w:space="0"/>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平均</w:t>
            </w:r>
          </w:p>
        </w:tc>
        <w:tc>
          <w:tcPr>
            <w:tcW w:w="600" w:type="dxa"/>
            <w:tcBorders>
              <w:top w:val="single" w:color="auto" w:sz="4" w:space="0"/>
              <w:left w:val="nil"/>
              <w:bottom w:val="single" w:color="auto" w:sz="4" w:space="0"/>
              <w:right w:val="nil"/>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w:t>
            </w:r>
          </w:p>
        </w:tc>
        <w:tc>
          <w:tcPr>
            <w:tcW w:w="86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　</w:t>
            </w:r>
          </w:p>
        </w:tc>
      </w:tr>
      <w:tr>
        <w:tblPrEx>
          <w:tblLayout w:type="fixed"/>
          <w:tblCellMar>
            <w:top w:w="0" w:type="dxa"/>
            <w:left w:w="108" w:type="dxa"/>
            <w:bottom w:w="0" w:type="dxa"/>
            <w:right w:w="108" w:type="dxa"/>
          </w:tblCellMar>
        </w:tblPrEx>
        <w:trPr>
          <w:trHeight w:val="379"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　</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2"/>
              </w:rPr>
            </w:pPr>
            <w:r>
              <w:rPr>
                <w:rFonts w:hint="default" w:ascii="Times New Roman" w:hAnsi="Times New Roman" w:cs="Times New Roman"/>
                <w:color w:val="000000"/>
                <w:kern w:val="0"/>
                <w:sz w:val="22"/>
              </w:rPr>
              <w:t>　</w:t>
            </w:r>
          </w:p>
        </w:tc>
        <w:tc>
          <w:tcPr>
            <w:tcW w:w="57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亩产</w:t>
            </w:r>
          </w:p>
        </w:tc>
        <w:tc>
          <w:tcPr>
            <w:tcW w:w="61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较ck</w:t>
            </w:r>
          </w:p>
        </w:tc>
        <w:tc>
          <w:tcPr>
            <w:tcW w:w="66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较均值</w:t>
            </w:r>
          </w:p>
        </w:tc>
        <w:tc>
          <w:tcPr>
            <w:tcW w:w="612"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亩产</w:t>
            </w:r>
          </w:p>
        </w:tc>
        <w:tc>
          <w:tcPr>
            <w:tcW w:w="66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较ck</w:t>
            </w:r>
          </w:p>
        </w:tc>
        <w:tc>
          <w:tcPr>
            <w:tcW w:w="593"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亩产</w:t>
            </w:r>
          </w:p>
        </w:tc>
        <w:tc>
          <w:tcPr>
            <w:tcW w:w="647"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较ck</w:t>
            </w:r>
          </w:p>
        </w:tc>
        <w:tc>
          <w:tcPr>
            <w:tcW w:w="622"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亩产</w:t>
            </w:r>
          </w:p>
        </w:tc>
        <w:tc>
          <w:tcPr>
            <w:tcW w:w="67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较ck</w:t>
            </w:r>
          </w:p>
        </w:tc>
        <w:tc>
          <w:tcPr>
            <w:tcW w:w="631"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亩产</w:t>
            </w:r>
          </w:p>
        </w:tc>
        <w:tc>
          <w:tcPr>
            <w:tcW w:w="68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较ck</w:t>
            </w:r>
          </w:p>
        </w:tc>
        <w:tc>
          <w:tcPr>
            <w:tcW w:w="66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亩产</w:t>
            </w:r>
          </w:p>
        </w:tc>
        <w:tc>
          <w:tcPr>
            <w:tcW w:w="72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较ck</w:t>
            </w:r>
          </w:p>
        </w:tc>
        <w:tc>
          <w:tcPr>
            <w:tcW w:w="622"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亩产</w:t>
            </w:r>
          </w:p>
        </w:tc>
        <w:tc>
          <w:tcPr>
            <w:tcW w:w="678"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较ck</w:t>
            </w:r>
          </w:p>
        </w:tc>
        <w:tc>
          <w:tcPr>
            <w:tcW w:w="68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亩产</w:t>
            </w:r>
          </w:p>
        </w:tc>
        <w:tc>
          <w:tcPr>
            <w:tcW w:w="60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较ck</w:t>
            </w:r>
          </w:p>
        </w:tc>
        <w:tc>
          <w:tcPr>
            <w:tcW w:w="86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增产点率</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xy45</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589.9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-1.27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-11.34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694.2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30.12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669.7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6.54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345.1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-8.37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660.0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45.46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586.4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1.64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697.4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15.60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606.1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12.8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邢2</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xy330</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782.8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31.02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17.66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645.2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20.94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734.5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16.83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284.2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-24.54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505.1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11.32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548.2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-4.97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548.3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-9.11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578.3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5.9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邢3</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xy1088</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687.2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15.01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3.29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588.1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10.23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678.4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7.91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477.8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26.86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548.4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20.86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553.0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-4.14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594.4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-1.47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589.6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10.8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邢4</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xy390</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568.2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-4.90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-14.60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565.0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5.91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594.1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-5.49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309.7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-17.76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442.2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-2.54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550.0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-4.66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552.2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-8.46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511.6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-5.4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28.6</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邢5</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xy389</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659.5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10.38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-0.87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657.4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23.22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710.3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12.99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409.7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8.77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441.2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-2.77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622.0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7.83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691.9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14.70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598.9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10.7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85.7</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邢6</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xy2966</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678.3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13.53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1.95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659.7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23.66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756.6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20.35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399.1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5.97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478.9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5.54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584.1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1.25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671.8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11.36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604.1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11.7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100</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邢7</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xy296</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746.2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24.89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12.15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647.2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21.31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708.3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12.68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427.6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13.52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692.1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52.53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692.2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19.99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712.2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18.05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660.8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23.3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100</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邢8</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xy117</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730.5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22.26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9.80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806.5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51.18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769.2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22.36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445.0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18.14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484.5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6.77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524.2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-9.13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522.7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-13.35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611.8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14.0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邢9</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xy426</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638.8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6.92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-3.98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680.1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27.48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729.4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16.03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361.8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-3.94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611.6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34.79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698.4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21.06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480.2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-20.40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600.1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11.7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邢10</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xy165</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643.1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7.64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-3.34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464.5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-12.92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688.1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9.45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335.6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-10.89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293.2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-35.39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516.4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-10.49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422.5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-29.97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480.5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-11.8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28.6</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邢11</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xy413B</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700.3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17.21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5.26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726.2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36.13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772.0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22.80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364.0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-3.34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641.5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41.38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644.7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11.76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418.1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-30.69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609.6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13.6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邢12</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xy93B</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633.3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6.00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-4.81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684.2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28.25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664.3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-3.76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348.4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-5.47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673.6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63.76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700.6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31.71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639.3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8.62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620.5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18.4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邢13</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xy8112</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575.2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-3.73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-13.55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582.7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9.22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650.4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-5.77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434.1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17.80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544.6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32.39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561.4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5.54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582.6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-1.01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561.6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7.8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57.1</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邢14</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xy8345</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684.4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14.55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2.87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633.4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18.74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620.8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-10.06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402.8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9.29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415.8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1.08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617.4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16.06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532.3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-9.56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558.1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5.7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邢15</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xy392</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777.2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30.07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16.81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628.1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17.73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764.9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10.82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271.6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-26.31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663.0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61.19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619.3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16.42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643.0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9.25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623.9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17.0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85.7</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邢16</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xy393B</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756.3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26.58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13.67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684.2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28.25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752.3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8.99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406.1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10.18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507.2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23.30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675.4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26.97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515.6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-12.39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613.9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16.0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85.7</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邢17</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xy356</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805.5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34.82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21.07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599.9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12.45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701.3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1.60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299.4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-18.75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588.4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43.06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678.5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27.55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692.1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17.58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623.6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16.9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85.7</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邢18</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xy333</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616.7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3.21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-7.31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670.2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25.63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672.7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-2.55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437.2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18.63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440.8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7.17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610.2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14.71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525.4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-10.73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567.6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8.0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邢19</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xy470</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664.2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11.17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-0.17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736.9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38.13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614.8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-10.92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327.2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-11.22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606.7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47.51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665.9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25.18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694.0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17.91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615.7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16.8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邢20</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xy8513</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611.7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2.38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-8.06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575.9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7.94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675.9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-2.08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389.0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5.55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676.0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64.35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617.3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16.05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557.4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-5.30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586.2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12.7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71.4</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邢21</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xy464</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619.8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3.73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-6.85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632.6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18.58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778.2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12.74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521.7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41.57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370.3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-9.96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659.6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24.00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669.2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13.70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607.4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14.9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85.7</w:t>
            </w:r>
          </w:p>
        </w:tc>
      </w:tr>
      <w:tr>
        <w:tblPrEx>
          <w:tblLayout w:type="fixed"/>
          <w:tblCellMar>
            <w:top w:w="0" w:type="dxa"/>
            <w:left w:w="108" w:type="dxa"/>
            <w:bottom w:w="0" w:type="dxa"/>
            <w:right w:w="108" w:type="dxa"/>
          </w:tblCellMar>
        </w:tblPrEx>
        <w:trPr>
          <w:trHeight w:val="30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邢22</w:t>
            </w:r>
          </w:p>
        </w:tc>
        <w:tc>
          <w:tcPr>
            <w:tcW w:w="85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Times New Roman" w:hAnsi="Times New Roman" w:cs="Times New Roman"/>
                <w:color w:val="000000"/>
                <w:kern w:val="0"/>
                <w:sz w:val="20"/>
                <w:szCs w:val="20"/>
              </w:rPr>
            </w:pPr>
            <w:r>
              <w:rPr>
                <w:rFonts w:hint="default" w:ascii="Times New Roman" w:hAnsi="Times New Roman" w:cs="Times New Roman"/>
                <w:color w:val="000000"/>
                <w:kern w:val="0"/>
                <w:sz w:val="20"/>
                <w:szCs w:val="20"/>
              </w:rPr>
              <w:t>xy8199</w:t>
            </w:r>
          </w:p>
        </w:tc>
        <w:tc>
          <w:tcPr>
            <w:tcW w:w="57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671.4 </w:t>
            </w:r>
          </w:p>
        </w:tc>
        <w:tc>
          <w:tcPr>
            <w:tcW w:w="61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12.38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0.92 </w:t>
            </w:r>
          </w:p>
        </w:tc>
        <w:tc>
          <w:tcPr>
            <w:tcW w:w="61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662.5 </w:t>
            </w:r>
          </w:p>
        </w:tc>
        <w:tc>
          <w:tcPr>
            <w:tcW w:w="66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24.17 </w:t>
            </w:r>
          </w:p>
        </w:tc>
        <w:tc>
          <w:tcPr>
            <w:tcW w:w="59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631.3 </w:t>
            </w:r>
          </w:p>
        </w:tc>
        <w:tc>
          <w:tcPr>
            <w:tcW w:w="647"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-8.54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601.4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63.19 </w:t>
            </w:r>
          </w:p>
        </w:tc>
        <w:tc>
          <w:tcPr>
            <w:tcW w:w="631"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512.6 </w:t>
            </w:r>
          </w:p>
        </w:tc>
        <w:tc>
          <w:tcPr>
            <w:tcW w:w="689"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24.61 </w:t>
            </w:r>
          </w:p>
        </w:tc>
        <w:tc>
          <w:tcPr>
            <w:tcW w:w="6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552.2 </w:t>
            </w:r>
          </w:p>
        </w:tc>
        <w:tc>
          <w:tcPr>
            <w:tcW w:w="72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3.81 </w:t>
            </w:r>
          </w:p>
        </w:tc>
        <w:tc>
          <w:tcPr>
            <w:tcW w:w="622"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551.4 </w:t>
            </w:r>
          </w:p>
        </w:tc>
        <w:tc>
          <w:tcPr>
            <w:tcW w:w="678"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-6.32 </w:t>
            </w:r>
          </w:p>
        </w:tc>
        <w:tc>
          <w:tcPr>
            <w:tcW w:w="68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597.5 </w:t>
            </w:r>
          </w:p>
        </w:tc>
        <w:tc>
          <w:tcPr>
            <w:tcW w:w="60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 xml:space="preserve">16.2 </w:t>
            </w:r>
          </w:p>
        </w:tc>
        <w:tc>
          <w:tcPr>
            <w:tcW w:w="860"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Times New Roman" w:hAnsi="Times New Roman" w:cs="Times New Roman"/>
                <w:color w:val="000000"/>
                <w:kern w:val="0"/>
                <w:sz w:val="16"/>
                <w:szCs w:val="16"/>
              </w:rPr>
            </w:pPr>
            <w:r>
              <w:rPr>
                <w:rFonts w:hint="default" w:ascii="Times New Roman" w:hAnsi="Times New Roman" w:cs="Times New Roman"/>
                <w:color w:val="000000"/>
                <w:kern w:val="0"/>
                <w:sz w:val="16"/>
                <w:szCs w:val="16"/>
              </w:rPr>
              <w:t>85.7</w:t>
            </w:r>
          </w:p>
        </w:tc>
      </w:tr>
    </w:tbl>
    <w:p>
      <w:pPr>
        <w:spacing w:line="560" w:lineRule="exact"/>
        <w:jc w:val="left"/>
        <w:rPr>
          <w:rFonts w:hint="default" w:ascii="Times New Roman" w:hAnsi="Times New Roman" w:cs="Times New Roman"/>
          <w:b/>
          <w:sz w:val="24"/>
        </w:rPr>
        <w:sectPr>
          <w:pgSz w:w="16838" w:h="11906" w:orient="landscape"/>
          <w:pgMar w:top="1474" w:right="1440" w:bottom="1474" w:left="1440" w:header="851" w:footer="992" w:gutter="0"/>
          <w:pgNumType w:start="7"/>
          <w:cols w:space="425" w:num="1"/>
          <w:titlePg/>
          <w:docGrid w:type="lines" w:linePitch="312" w:charSpace="0"/>
        </w:sectPr>
      </w:pP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（二）执行绩效监控情况。</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1、健全组织机构,加强对项目的管理。</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成立了以主管院长和科管处组成的项目领导小组,按照相关规定对项目进行协调和监管,以玉米一室为主体成立项目实施小组,具体负责项目的实施方案制定和实施。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2、关键期强化工作落实。</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南繁播种、授粉和收获的三个关键期，由项目组人员亲自到南繁基地进行各项育种技术措施和田间管理措施的落实，其他时间由被委托人按照管理要求进行试验田的各项田间管理工作，以保证项目的顺利实施。生态适应性鉴定试验的试点经考察选定7个了有试验资质、承试经验丰富、责任心强的正规测试机构来承担组合鉴定试验，保证了试验的质量。</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（三）资金管理情况。说明资金到位、自筹资金落实和实际支出等情况。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该项目总投资10万元，全部为财政资金，项目资金足额、及时到位，投资计划完成情况如下：</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1、专用材料费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0.9</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元，实际支出</w:t>
      </w:r>
      <w:r>
        <w:rPr>
          <w:rFonts w:hint="default" w:ascii="Times New Roman" w:hAnsi="Times New Roman" w:cs="Times New Roman"/>
          <w:sz w:val="32"/>
          <w:szCs w:val="32"/>
          <w:lang w:val="en-US" w:eastAsia="zh-CN"/>
        </w:rPr>
        <w:t>1.2251万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2、劳务费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2.7</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元，实际支出2</w:t>
      </w:r>
      <w:r>
        <w:rPr>
          <w:rFonts w:hint="default" w:ascii="Times New Roman" w:hAnsi="Times New Roman" w:cs="Times New Roman"/>
          <w:sz w:val="32"/>
          <w:szCs w:val="32"/>
          <w:lang w:val="en-US" w:eastAsia="zh-CN"/>
        </w:rPr>
        <w:t>.17</w:t>
      </w:r>
      <w:r>
        <w:rPr>
          <w:rFonts w:hint="default" w:ascii="Times New Roman" w:hAnsi="Times New Roman" w:cs="Times New Roman"/>
          <w:sz w:val="32"/>
          <w:szCs w:val="32"/>
        </w:rPr>
        <w:t>4</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3、差旅费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2.5</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元，实际支出</w:t>
      </w:r>
      <w:r>
        <w:rPr>
          <w:rFonts w:hint="default" w:ascii="Times New Roman" w:hAnsi="Times New Roman" w:cs="Times New Roman"/>
          <w:sz w:val="32"/>
          <w:szCs w:val="32"/>
          <w:lang w:val="en-US" w:eastAsia="zh-CN"/>
        </w:rPr>
        <w:t>4.424万</w:t>
      </w:r>
      <w:r>
        <w:rPr>
          <w:rFonts w:hint="default" w:ascii="Times New Roman" w:hAnsi="Times New Roman" w:cs="Times New Roman"/>
          <w:sz w:val="32"/>
          <w:szCs w:val="32"/>
        </w:rPr>
        <w:t>元。</w:t>
      </w:r>
    </w:p>
    <w:p>
      <w:pPr>
        <w:numPr>
          <w:ilvl w:val="0"/>
          <w:numId w:val="1"/>
        </w:numPr>
        <w:spacing w:line="560" w:lineRule="exact"/>
        <w:ind w:firstLine="640" w:firstLineChars="200"/>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其他</w:t>
      </w:r>
    </w:p>
    <w:p>
      <w:pPr>
        <w:numPr>
          <w:ilvl w:val="0"/>
          <w:numId w:val="0"/>
        </w:num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3.9</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元，实际支出2</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1</w:t>
      </w:r>
      <w:r>
        <w:rPr>
          <w:rFonts w:hint="default" w:ascii="Times New Roman" w:hAnsi="Times New Roman" w:cs="Times New Roman"/>
          <w:sz w:val="32"/>
          <w:szCs w:val="32"/>
          <w:lang w:val="en-US" w:eastAsia="zh-CN"/>
        </w:rPr>
        <w:t>769</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合计支出10万元。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（四）绩效管理制度建设及执行情况。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该项目的绩效目标纳入单位内部的绩效目标进行管理，每季度进行调度、督促和总结。</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（五）风险管理情况。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存在自然灾害等不可抗力因素（如台风、低温等）导致玉米南繁加代或多点鉴定受到不良影响的风险因素，处置方法主要是严格按照南繁玉米田间管理技术要点和玉米品种试验规程执行，以规避和降低风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四、项目绩效自评情况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（一）项目自评组织情况。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邀请院学术委员会有关专家，按照规定标准对该项目的绩效进行了结果自评。</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（二）项目评价结果。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工作活动设置15分</w:t>
      </w:r>
      <w:r>
        <w:rPr>
          <w:rFonts w:hint="default" w:ascii="Times New Roman" w:hAnsi="Times New Roman" w:cs="Times New Roman"/>
          <w:sz w:val="32"/>
          <w:szCs w:val="32"/>
          <w:lang w:eastAsia="zh-CN"/>
        </w:rPr>
        <w:t>，</w:t>
      </w:r>
      <w:r>
        <w:rPr>
          <w:rFonts w:hint="default" w:ascii="Times New Roman" w:hAnsi="Times New Roman" w:cs="Times New Roman"/>
          <w:sz w:val="32"/>
          <w:szCs w:val="32"/>
        </w:rPr>
        <w:t>工作活动管理23分</w:t>
      </w:r>
      <w:r>
        <w:rPr>
          <w:rFonts w:hint="default" w:ascii="Times New Roman" w:hAnsi="Times New Roman" w:cs="Times New Roman"/>
          <w:sz w:val="32"/>
          <w:szCs w:val="32"/>
          <w:lang w:eastAsia="zh-CN"/>
        </w:rPr>
        <w:t>，</w:t>
      </w:r>
      <w:r>
        <w:rPr>
          <w:rFonts w:hint="default" w:ascii="Times New Roman" w:hAnsi="Times New Roman" w:cs="Times New Roman"/>
          <w:sz w:val="32"/>
          <w:szCs w:val="32"/>
        </w:rPr>
        <w:t>工作活动产出24分</w:t>
      </w:r>
      <w:r>
        <w:rPr>
          <w:rFonts w:hint="default" w:ascii="Times New Roman" w:hAnsi="Times New Roman" w:cs="Times New Roman"/>
          <w:sz w:val="32"/>
          <w:szCs w:val="32"/>
          <w:lang w:eastAsia="zh-CN"/>
        </w:rPr>
        <w:t>，</w:t>
      </w:r>
      <w:r>
        <w:rPr>
          <w:rFonts w:hint="default" w:ascii="Times New Roman" w:hAnsi="Times New Roman" w:cs="Times New Roman"/>
          <w:sz w:val="32"/>
          <w:szCs w:val="32"/>
        </w:rPr>
        <w:t>工作活动效果35分</w:t>
      </w:r>
      <w:r>
        <w:rPr>
          <w:rFonts w:hint="default" w:ascii="Times New Roman" w:hAnsi="Times New Roman" w:cs="Times New Roman"/>
          <w:sz w:val="32"/>
          <w:szCs w:val="32"/>
          <w:lang w:eastAsia="zh-CN"/>
        </w:rPr>
        <w:t>，</w:t>
      </w:r>
      <w:r>
        <w:rPr>
          <w:rFonts w:hint="default" w:ascii="Times New Roman" w:hAnsi="Times New Roman" w:cs="Times New Roman"/>
          <w:sz w:val="32"/>
          <w:szCs w:val="32"/>
        </w:rPr>
        <w:t>绩效评价总得分97分。</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五、项目存在的问题、改进工作的意见及建议</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玉米育种周期长，南繁工作显得十分重要，可以说南繁是一个常态化的育种手段（过程）。另外，南繁回来的组合（品种）都要参加各类试验，尤其是生态适应性多点鉴定是选拔参加省级以上区试的重要环节，所以建议：</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 xml:space="preserve"> “玉米育种南繁加代和优良组合的多点生态适应性鉴定”纳入常年财政支持项目，以保证南繁效果和玉米育种成效的持续性。</w:t>
      </w:r>
    </w:p>
    <w:sectPr>
      <w:pgSz w:w="11906" w:h="16838"/>
      <w:pgMar w:top="1440" w:right="1418"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黑体"/>
    <w:panose1 w:val="00000000000000000000"/>
    <w:charset w:val="86"/>
    <w:family w:val="script"/>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9243785"/>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9243791"/>
      <w:docPartObj>
        <w:docPartGallery w:val="autotext"/>
      </w:docPartObj>
    </w:sdtPr>
    <w:sdtContent>
      <w:p>
        <w:pPr>
          <w:pStyle w:val="2"/>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224D9"/>
    <w:multiLevelType w:val="singleLevel"/>
    <w:tmpl w:val="2FF224D9"/>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652"/>
    <w:rsid w:val="000416D8"/>
    <w:rsid w:val="0006237F"/>
    <w:rsid w:val="000944BE"/>
    <w:rsid w:val="000E5E26"/>
    <w:rsid w:val="00123599"/>
    <w:rsid w:val="0014045C"/>
    <w:rsid w:val="001538B2"/>
    <w:rsid w:val="00163F7C"/>
    <w:rsid w:val="00164D58"/>
    <w:rsid w:val="00167622"/>
    <w:rsid w:val="00174EC1"/>
    <w:rsid w:val="00185B9B"/>
    <w:rsid w:val="001E510C"/>
    <w:rsid w:val="002115F2"/>
    <w:rsid w:val="002134A7"/>
    <w:rsid w:val="00224D02"/>
    <w:rsid w:val="0024450A"/>
    <w:rsid w:val="002516C7"/>
    <w:rsid w:val="00271DC3"/>
    <w:rsid w:val="00275A99"/>
    <w:rsid w:val="00275AD0"/>
    <w:rsid w:val="002A06DB"/>
    <w:rsid w:val="002A20C5"/>
    <w:rsid w:val="002B7B00"/>
    <w:rsid w:val="002C7415"/>
    <w:rsid w:val="002D7159"/>
    <w:rsid w:val="002F10B5"/>
    <w:rsid w:val="002F29A9"/>
    <w:rsid w:val="00321217"/>
    <w:rsid w:val="00330ED3"/>
    <w:rsid w:val="00343582"/>
    <w:rsid w:val="003545D5"/>
    <w:rsid w:val="00383191"/>
    <w:rsid w:val="003839B7"/>
    <w:rsid w:val="00387FF0"/>
    <w:rsid w:val="003A4BC0"/>
    <w:rsid w:val="003B7B82"/>
    <w:rsid w:val="00404ECE"/>
    <w:rsid w:val="004258DE"/>
    <w:rsid w:val="00436E2E"/>
    <w:rsid w:val="00440FC6"/>
    <w:rsid w:val="00463D37"/>
    <w:rsid w:val="00467ACC"/>
    <w:rsid w:val="00476F18"/>
    <w:rsid w:val="004E780E"/>
    <w:rsid w:val="004F1741"/>
    <w:rsid w:val="00542DDD"/>
    <w:rsid w:val="00583F94"/>
    <w:rsid w:val="00593A0B"/>
    <w:rsid w:val="005A3F33"/>
    <w:rsid w:val="005B32AD"/>
    <w:rsid w:val="005E2A0E"/>
    <w:rsid w:val="005E3DD6"/>
    <w:rsid w:val="005E3F54"/>
    <w:rsid w:val="005E6151"/>
    <w:rsid w:val="005F12B8"/>
    <w:rsid w:val="00602A15"/>
    <w:rsid w:val="006103E0"/>
    <w:rsid w:val="00662EF6"/>
    <w:rsid w:val="00693C1A"/>
    <w:rsid w:val="006A45AB"/>
    <w:rsid w:val="006E038F"/>
    <w:rsid w:val="006F6FE8"/>
    <w:rsid w:val="00703EDA"/>
    <w:rsid w:val="00720C18"/>
    <w:rsid w:val="00722793"/>
    <w:rsid w:val="00723337"/>
    <w:rsid w:val="00743478"/>
    <w:rsid w:val="0075432D"/>
    <w:rsid w:val="007722A1"/>
    <w:rsid w:val="007E2D3E"/>
    <w:rsid w:val="007F10C6"/>
    <w:rsid w:val="007F1541"/>
    <w:rsid w:val="0081093B"/>
    <w:rsid w:val="008370F3"/>
    <w:rsid w:val="00865B8E"/>
    <w:rsid w:val="00893B96"/>
    <w:rsid w:val="008B2832"/>
    <w:rsid w:val="008B79E6"/>
    <w:rsid w:val="008C5C9E"/>
    <w:rsid w:val="008D7ABD"/>
    <w:rsid w:val="0090217E"/>
    <w:rsid w:val="00904A14"/>
    <w:rsid w:val="009270C6"/>
    <w:rsid w:val="00955FD9"/>
    <w:rsid w:val="00975383"/>
    <w:rsid w:val="009B7B36"/>
    <w:rsid w:val="009E7604"/>
    <w:rsid w:val="009F083C"/>
    <w:rsid w:val="00A03E7F"/>
    <w:rsid w:val="00A11993"/>
    <w:rsid w:val="00A131D0"/>
    <w:rsid w:val="00A25FE5"/>
    <w:rsid w:val="00A36694"/>
    <w:rsid w:val="00A41266"/>
    <w:rsid w:val="00A77CEB"/>
    <w:rsid w:val="00A90D09"/>
    <w:rsid w:val="00A93465"/>
    <w:rsid w:val="00A96AA9"/>
    <w:rsid w:val="00AB63E9"/>
    <w:rsid w:val="00AC6049"/>
    <w:rsid w:val="00AD598B"/>
    <w:rsid w:val="00AE35F4"/>
    <w:rsid w:val="00B156F8"/>
    <w:rsid w:val="00B17F77"/>
    <w:rsid w:val="00B251A4"/>
    <w:rsid w:val="00B70B7D"/>
    <w:rsid w:val="00BA35F3"/>
    <w:rsid w:val="00BB1384"/>
    <w:rsid w:val="00BD66BC"/>
    <w:rsid w:val="00BF1006"/>
    <w:rsid w:val="00C40345"/>
    <w:rsid w:val="00C54C38"/>
    <w:rsid w:val="00C650ED"/>
    <w:rsid w:val="00C85FAB"/>
    <w:rsid w:val="00C92303"/>
    <w:rsid w:val="00C97745"/>
    <w:rsid w:val="00CA3FD3"/>
    <w:rsid w:val="00CA660B"/>
    <w:rsid w:val="00CB4159"/>
    <w:rsid w:val="00CC1151"/>
    <w:rsid w:val="00CE6361"/>
    <w:rsid w:val="00CF3B14"/>
    <w:rsid w:val="00CF3F97"/>
    <w:rsid w:val="00D0096D"/>
    <w:rsid w:val="00D05043"/>
    <w:rsid w:val="00D25BEE"/>
    <w:rsid w:val="00D405ED"/>
    <w:rsid w:val="00D477FD"/>
    <w:rsid w:val="00DA77C8"/>
    <w:rsid w:val="00DE2690"/>
    <w:rsid w:val="00E153FC"/>
    <w:rsid w:val="00E176B5"/>
    <w:rsid w:val="00E3149B"/>
    <w:rsid w:val="00E338A9"/>
    <w:rsid w:val="00E3572C"/>
    <w:rsid w:val="00E36985"/>
    <w:rsid w:val="00E64652"/>
    <w:rsid w:val="00E8460F"/>
    <w:rsid w:val="00E849CD"/>
    <w:rsid w:val="00E91D48"/>
    <w:rsid w:val="00EB065E"/>
    <w:rsid w:val="00EB0924"/>
    <w:rsid w:val="00EE3F43"/>
    <w:rsid w:val="00F1388B"/>
    <w:rsid w:val="00F31021"/>
    <w:rsid w:val="00F315B6"/>
    <w:rsid w:val="00F32FF7"/>
    <w:rsid w:val="00F3311B"/>
    <w:rsid w:val="00F53773"/>
    <w:rsid w:val="00F6187C"/>
    <w:rsid w:val="00F71562"/>
    <w:rsid w:val="00FC7229"/>
    <w:rsid w:val="00FF5A59"/>
    <w:rsid w:val="01DF4E95"/>
    <w:rsid w:val="0CB514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semiHidden/>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7">
    <w:name w:val="List Paragraph"/>
    <w:basedOn w:val="1"/>
    <w:qFormat/>
    <w:uiPriority w:val="99"/>
    <w:pPr>
      <w:ind w:firstLine="420" w:firstLineChars="200"/>
    </w:pPr>
  </w:style>
  <w:style w:type="character" w:customStyle="1" w:styleId="8">
    <w:name w:val="页眉 Char"/>
    <w:basedOn w:val="6"/>
    <w:link w:val="3"/>
    <w:semiHidden/>
    <w:qFormat/>
    <w:locked/>
    <w:uiPriority w:val="99"/>
    <w:rPr>
      <w:rFonts w:ascii="Times New Roman" w:hAnsi="Times New Roman" w:eastAsia="宋体" w:cs="Times New Roman"/>
      <w:sz w:val="18"/>
      <w:szCs w:val="18"/>
    </w:rPr>
  </w:style>
  <w:style w:type="character" w:customStyle="1" w:styleId="9">
    <w:name w:val="页脚 Char"/>
    <w:basedOn w:val="6"/>
    <w:link w:val="2"/>
    <w:qFormat/>
    <w:locked/>
    <w:uiPriority w:val="99"/>
    <w:rPr>
      <w:rFonts w:ascii="Times New Roman" w:hAnsi="Times New Roman" w:eastAsia="宋体" w:cs="Times New Roman"/>
      <w:sz w:val="18"/>
      <w:szCs w:val="18"/>
    </w:rPr>
  </w:style>
  <w:style w:type="paragraph" w:customStyle="1" w:styleId="10">
    <w:name w:val="样式1"/>
    <w:basedOn w:val="1"/>
    <w:qFormat/>
    <w:uiPriority w:val="99"/>
    <w:pPr>
      <w:spacing w:line="520" w:lineRule="exact"/>
      <w:ind w:firstLine="200" w:firstLineChars="200"/>
    </w:pPr>
    <w:rPr>
      <w:rFonts w:ascii="仿宋_GB2312"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8A6513-41B1-4B6B-825E-7AB985961044}">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1281</Words>
  <Characters>7308</Characters>
  <Lines>60</Lines>
  <Paragraphs>17</Paragraphs>
  <TotalTime>19</TotalTime>
  <ScaleCrop>false</ScaleCrop>
  <LinksUpToDate>false</LinksUpToDate>
  <CharactersWithSpaces>8572</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2019-08-17T14:14:00Z</dcterms:created>
  <dc:creator>tzg</dc:creator>
  <cp:lastModifiedBy>Administrator</cp:lastModifiedBy>
  <cp:lastPrinted>2018-05-22T02:42:00Z</cp:lastPrinted>
  <dcterms:modified xsi:type="dcterms:W3CDTF">2019-08-26T09:16:22Z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