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eastAsia="方正小标宋_GBK"/>
          <w:spacing w:val="-8"/>
          <w:sz w:val="52"/>
          <w:szCs w:val="52"/>
        </w:rPr>
      </w:pPr>
    </w:p>
    <w:p>
      <w:pPr>
        <w:jc w:val="center"/>
        <w:rPr>
          <w:rFonts w:ascii="方正小标宋_GBK" w:eastAsia="方正小标宋_GBK"/>
          <w:spacing w:val="-8"/>
          <w:sz w:val="52"/>
          <w:szCs w:val="52"/>
        </w:rPr>
      </w:pPr>
    </w:p>
    <w:p>
      <w:pPr>
        <w:jc w:val="center"/>
        <w:rPr>
          <w:rFonts w:ascii="方正小标宋_GBK" w:eastAsia="方正小标宋_GBK"/>
          <w:spacing w:val="-8"/>
          <w:sz w:val="52"/>
          <w:szCs w:val="52"/>
        </w:rPr>
      </w:pPr>
    </w:p>
    <w:p>
      <w:pPr>
        <w:jc w:val="center"/>
        <w:rPr>
          <w:rFonts w:ascii="方正小标宋_GBK" w:eastAsia="方正小标宋_GBK"/>
          <w:spacing w:val="-8"/>
          <w:sz w:val="52"/>
          <w:szCs w:val="52"/>
        </w:rPr>
      </w:pPr>
      <w:r>
        <w:rPr>
          <w:rFonts w:hint="eastAsia" w:ascii="方正小标宋_GBK" w:eastAsia="方正小标宋_GBK"/>
          <w:spacing w:val="-8"/>
          <w:sz w:val="52"/>
          <w:szCs w:val="52"/>
        </w:rPr>
        <w:t>邢台市部门工作活动</w:t>
      </w:r>
      <w:r>
        <w:rPr>
          <w:rFonts w:ascii="方正小标宋_GBK" w:eastAsia="方正小标宋_GBK"/>
          <w:spacing w:val="-8"/>
          <w:sz w:val="52"/>
          <w:szCs w:val="52"/>
        </w:rPr>
        <w:t>(</w:t>
      </w:r>
      <w:r>
        <w:rPr>
          <w:rFonts w:hint="eastAsia" w:ascii="方正小标宋_GBK" w:eastAsia="方正小标宋_GBK"/>
          <w:spacing w:val="-8"/>
          <w:sz w:val="52"/>
          <w:szCs w:val="52"/>
        </w:rPr>
        <w:t>项目</w:t>
      </w:r>
      <w:r>
        <w:rPr>
          <w:rFonts w:ascii="方正小标宋_GBK" w:eastAsia="方正小标宋_GBK"/>
          <w:spacing w:val="-8"/>
          <w:sz w:val="52"/>
          <w:szCs w:val="52"/>
        </w:rPr>
        <w:t>)</w:t>
      </w:r>
    </w:p>
    <w:p>
      <w:pPr>
        <w:jc w:val="center"/>
        <w:rPr>
          <w:rFonts w:ascii="方正小标宋_GBK" w:eastAsia="方正小标宋_GBK"/>
          <w:spacing w:val="-8"/>
          <w:sz w:val="52"/>
          <w:szCs w:val="52"/>
        </w:rPr>
      </w:pPr>
      <w:r>
        <w:rPr>
          <w:rFonts w:hint="eastAsia" w:ascii="方正小标宋_GBK" w:eastAsia="方正小标宋_GBK"/>
          <w:spacing w:val="-8"/>
          <w:sz w:val="52"/>
          <w:szCs w:val="52"/>
        </w:rPr>
        <w:t>绩效评价自评报告</w:t>
      </w:r>
    </w:p>
    <w:p>
      <w:pPr>
        <w:jc w:val="center"/>
        <w:rPr>
          <w:sz w:val="44"/>
          <w:szCs w:val="44"/>
        </w:rPr>
      </w:pPr>
      <w:r>
        <w:rPr>
          <w:rFonts w:hint="eastAsia"/>
          <w:sz w:val="44"/>
          <w:szCs w:val="44"/>
        </w:rPr>
        <w:t>（</w:t>
      </w:r>
      <w:r>
        <w:rPr>
          <w:sz w:val="44"/>
          <w:szCs w:val="44"/>
        </w:rPr>
        <w:t>201</w:t>
      </w:r>
      <w:r>
        <w:rPr>
          <w:rFonts w:hint="eastAsia"/>
          <w:sz w:val="44"/>
          <w:szCs w:val="44"/>
          <w:lang w:val="en-US" w:eastAsia="zh-CN"/>
        </w:rPr>
        <w:t>8</w:t>
      </w:r>
      <w:r>
        <w:rPr>
          <w:rFonts w:hint="eastAsia"/>
          <w:sz w:val="44"/>
          <w:szCs w:val="44"/>
        </w:rPr>
        <w:t>年度）</w:t>
      </w:r>
    </w:p>
    <w:p/>
    <w:p/>
    <w:p/>
    <w:p/>
    <w:p/>
    <w:p/>
    <w:p>
      <w:pPr>
        <w:rPr>
          <w:rFonts w:ascii="宋体"/>
          <w:sz w:val="32"/>
          <w:szCs w:val="32"/>
        </w:rPr>
      </w:pPr>
      <w:r>
        <w:rPr>
          <w:rFonts w:hint="eastAsia" w:ascii="宋体" w:hAnsi="宋体"/>
          <w:sz w:val="32"/>
          <w:szCs w:val="32"/>
        </w:rPr>
        <w:t>项目名称：杂交谷轻简化栽培技术研究与示范</w:t>
      </w:r>
    </w:p>
    <w:p>
      <w:pPr>
        <w:rPr>
          <w:rFonts w:ascii="宋体"/>
          <w:sz w:val="32"/>
          <w:szCs w:val="32"/>
        </w:rPr>
      </w:pPr>
      <w:r>
        <w:rPr>
          <w:rFonts w:hint="eastAsia" w:ascii="宋体" w:hAnsi="宋体"/>
          <w:sz w:val="32"/>
          <w:szCs w:val="32"/>
        </w:rPr>
        <w:t>项目承担单位：邢台市农业科学研究院（公章）</w:t>
      </w:r>
    </w:p>
    <w:p>
      <w:pPr>
        <w:rPr>
          <w:rFonts w:ascii="宋体"/>
          <w:sz w:val="32"/>
          <w:szCs w:val="32"/>
        </w:rPr>
      </w:pPr>
      <w:r>
        <w:rPr>
          <w:rFonts w:hint="eastAsia" w:ascii="宋体" w:hAnsi="宋体"/>
          <w:sz w:val="32"/>
          <w:szCs w:val="32"/>
        </w:rPr>
        <w:t>项目主管部门：邢台市财政局（公章）</w:t>
      </w:r>
    </w:p>
    <w:p>
      <w:pPr>
        <w:rPr>
          <w:rFonts w:ascii="宋体"/>
          <w:sz w:val="32"/>
          <w:szCs w:val="32"/>
        </w:rPr>
      </w:pPr>
      <w:r>
        <w:rPr>
          <w:rFonts w:hint="eastAsia" w:ascii="宋体" w:hAnsi="宋体"/>
          <w:sz w:val="32"/>
          <w:szCs w:val="32"/>
        </w:rPr>
        <w:t>组织方式：□财政部门</w:t>
      </w:r>
      <w:r>
        <w:rPr>
          <w:rFonts w:ascii="宋体" w:hAnsi="宋体"/>
          <w:sz w:val="32"/>
          <w:szCs w:val="32"/>
        </w:rPr>
        <w:t xml:space="preserve">   </w:t>
      </w:r>
      <w:r>
        <w:rPr>
          <w:rFonts w:hint="eastAsia" w:ascii="宋体" w:hAnsi="宋体"/>
          <w:sz w:val="32"/>
          <w:szCs w:val="32"/>
        </w:rPr>
        <w:t>□主管部门</w:t>
      </w:r>
      <w:r>
        <w:rPr>
          <w:rFonts w:ascii="宋体" w:hAnsi="宋体"/>
          <w:sz w:val="32"/>
          <w:szCs w:val="32"/>
        </w:rPr>
        <w:t xml:space="preserve">  </w:t>
      </w:r>
      <w:r>
        <w:rPr>
          <w:rFonts w:hint="eastAsia" w:ascii="宋体" w:hAnsi="宋体"/>
          <w:szCs w:val="21"/>
          <w:bdr w:val="single" w:color="auto" w:sz="4" w:space="0"/>
        </w:rPr>
        <w:t>√</w:t>
      </w:r>
      <w:r>
        <w:rPr>
          <w:rFonts w:hint="eastAsia" w:ascii="宋体" w:hAnsi="宋体"/>
          <w:sz w:val="32"/>
          <w:szCs w:val="32"/>
        </w:rPr>
        <w:t>实施单位</w:t>
      </w:r>
    </w:p>
    <w:p>
      <w:pPr>
        <w:rPr>
          <w:rFonts w:ascii="宋体"/>
          <w:sz w:val="32"/>
          <w:szCs w:val="32"/>
        </w:rPr>
      </w:pPr>
      <w:r>
        <w:rPr>
          <w:rFonts w:hint="eastAsia" w:ascii="宋体" w:hAnsi="宋体"/>
          <w:sz w:val="32"/>
          <w:szCs w:val="32"/>
        </w:rPr>
        <w:t>评价机构：□中介机构</w:t>
      </w:r>
      <w:r>
        <w:rPr>
          <w:rFonts w:ascii="宋体" w:hAnsi="宋体"/>
          <w:sz w:val="32"/>
          <w:szCs w:val="32"/>
        </w:rPr>
        <w:t xml:space="preserve">   </w:t>
      </w:r>
      <w:r>
        <w:rPr>
          <w:rFonts w:hint="eastAsia" w:ascii="宋体" w:hAnsi="宋体"/>
          <w:sz w:val="32"/>
          <w:szCs w:val="32"/>
        </w:rPr>
        <w:t>□专家组</w:t>
      </w:r>
      <w:r>
        <w:rPr>
          <w:rFonts w:ascii="宋体" w:hAnsi="宋体"/>
          <w:sz w:val="32"/>
          <w:szCs w:val="32"/>
        </w:rPr>
        <w:t xml:space="preserve">    </w:t>
      </w:r>
      <w:r>
        <w:rPr>
          <w:rFonts w:hint="eastAsia" w:ascii="宋体" w:hAnsi="宋体"/>
          <w:szCs w:val="21"/>
          <w:bdr w:val="single" w:color="auto" w:sz="4" w:space="0"/>
        </w:rPr>
        <w:t>√</w:t>
      </w:r>
      <w:r>
        <w:rPr>
          <w:rFonts w:hint="eastAsia" w:ascii="宋体" w:hAnsi="宋体"/>
          <w:sz w:val="32"/>
          <w:szCs w:val="32"/>
        </w:rPr>
        <w:t>项目单位评价组</w:t>
      </w:r>
    </w:p>
    <w:p>
      <w:pPr>
        <w:rPr>
          <w:rFonts w:ascii="宋体"/>
          <w:sz w:val="32"/>
          <w:szCs w:val="32"/>
        </w:rPr>
      </w:pPr>
      <w:r>
        <w:rPr>
          <w:rFonts w:hint="eastAsia" w:ascii="宋体" w:hAnsi="宋体"/>
          <w:sz w:val="32"/>
          <w:szCs w:val="32"/>
        </w:rPr>
        <w:t>评价类型：□预算申报前评价</w:t>
      </w:r>
      <w:r>
        <w:rPr>
          <w:rFonts w:ascii="宋体" w:hAnsi="宋体"/>
          <w:sz w:val="32"/>
          <w:szCs w:val="32"/>
        </w:rPr>
        <w:t xml:space="preserve"> </w:t>
      </w:r>
      <w:r>
        <w:rPr>
          <w:rFonts w:hint="eastAsia" w:ascii="宋体" w:hAnsi="宋体"/>
          <w:sz w:val="32"/>
          <w:szCs w:val="32"/>
        </w:rPr>
        <w:t>□实施过程评价</w:t>
      </w:r>
      <w:r>
        <w:rPr>
          <w:rFonts w:ascii="宋体" w:hAnsi="宋体"/>
          <w:sz w:val="32"/>
          <w:szCs w:val="32"/>
        </w:rPr>
        <w:t xml:space="preserve"> </w:t>
      </w:r>
      <w:r>
        <w:rPr>
          <w:rFonts w:hint="eastAsia" w:ascii="宋体" w:hAnsi="宋体"/>
          <w:szCs w:val="21"/>
          <w:bdr w:val="single" w:color="auto" w:sz="4" w:space="0"/>
        </w:rPr>
        <w:t>√</w:t>
      </w:r>
      <w:r>
        <w:rPr>
          <w:rFonts w:hint="eastAsia" w:ascii="宋体" w:hAnsi="宋体"/>
          <w:sz w:val="32"/>
          <w:szCs w:val="32"/>
        </w:rPr>
        <w:t>完成结果评价</w:t>
      </w:r>
    </w:p>
    <w:p>
      <w:pPr>
        <w:rPr>
          <w:rFonts w:ascii="宋体"/>
          <w:sz w:val="32"/>
          <w:szCs w:val="32"/>
        </w:rPr>
      </w:pPr>
    </w:p>
    <w:p>
      <w:pPr>
        <w:jc w:val="center"/>
        <w:rPr>
          <w:rFonts w:hint="default" w:ascii="Times New Roman" w:hAnsi="Times New Roman" w:cs="Times New Roman"/>
          <w:sz w:val="32"/>
          <w:szCs w:val="32"/>
        </w:rPr>
      </w:pPr>
      <w:r>
        <w:rPr>
          <w:rFonts w:hint="default" w:ascii="Times New Roman" w:hAnsi="Times New Roman" w:cs="Times New Roman"/>
          <w:sz w:val="32"/>
          <w:szCs w:val="32"/>
        </w:rPr>
        <w:t>201</w:t>
      </w:r>
      <w:r>
        <w:rPr>
          <w:rFonts w:hint="default" w:ascii="Times New Roman" w:hAnsi="Times New Roman" w:cs="Times New Roman"/>
          <w:sz w:val="32"/>
          <w:szCs w:val="32"/>
          <w:lang w:val="en-US" w:eastAsia="zh-CN"/>
        </w:rPr>
        <w:t>9</w:t>
      </w:r>
      <w:r>
        <w:rPr>
          <w:rFonts w:hint="default" w:ascii="Times New Roman" w:hAnsi="Times New Roman" w:cs="Times New Roman"/>
          <w:sz w:val="32"/>
          <w:szCs w:val="32"/>
        </w:rPr>
        <w:t xml:space="preserve"> 年</w:t>
      </w:r>
      <w:r>
        <w:rPr>
          <w:rFonts w:hint="default" w:ascii="Times New Roman" w:hAnsi="Times New Roman" w:cs="Times New Roman"/>
          <w:sz w:val="32"/>
          <w:szCs w:val="32"/>
          <w:lang w:val="en-US" w:eastAsia="zh-CN"/>
        </w:rPr>
        <w:t>8</w:t>
      </w:r>
      <w:r>
        <w:rPr>
          <w:rFonts w:hint="default" w:ascii="Times New Roman" w:hAnsi="Times New Roman" w:cs="Times New Roman"/>
          <w:sz w:val="32"/>
          <w:szCs w:val="32"/>
        </w:rPr>
        <w:t xml:space="preserve"> 月 </w:t>
      </w:r>
      <w:r>
        <w:rPr>
          <w:rFonts w:hint="default" w:ascii="Times New Roman" w:hAnsi="Times New Roman" w:cs="Times New Roman"/>
          <w:sz w:val="32"/>
          <w:szCs w:val="32"/>
          <w:lang w:val="en-US" w:eastAsia="zh-CN"/>
        </w:rPr>
        <w:t>19</w:t>
      </w:r>
      <w:r>
        <w:rPr>
          <w:rFonts w:hint="default" w:ascii="Times New Roman" w:hAnsi="Times New Roman" w:cs="Times New Roman"/>
          <w:sz w:val="32"/>
          <w:szCs w:val="32"/>
        </w:rPr>
        <w:t>日</w:t>
      </w:r>
    </w:p>
    <w:p>
      <w:pPr>
        <w:widowControl/>
        <w:jc w:val="left"/>
        <w:rPr>
          <w:rFonts w:hint="default" w:ascii="Times New Roman" w:hAnsi="Times New Roman" w:cs="Times New Roman"/>
          <w:sz w:val="32"/>
          <w:szCs w:val="32"/>
        </w:rPr>
      </w:pPr>
      <w:r>
        <w:rPr>
          <w:rFonts w:hint="default" w:ascii="Times New Roman" w:hAnsi="Times New Roman" w:cs="Times New Roman"/>
          <w:sz w:val="32"/>
          <w:szCs w:val="32"/>
        </w:rPr>
        <w:br w:type="page"/>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一、项目概况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（一）政府战略规划或目标。</w:t>
      </w:r>
    </w:p>
    <w:p>
      <w:pPr>
        <w:spacing w:line="560" w:lineRule="exact"/>
        <w:ind w:firstLine="640" w:firstLineChars="20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河北省农业厅（河北省委省政府农村工作办公室）河北省财政厅文件《关于印发2016年度河北省地下水超采综合治理试点种植结构调整和农艺节水相关项目实施方案的通知》中指出“在地下水超采区，探索发展旱作冬油菜+青贮玉米、旱作冬油菜（绿肥）+夏玉米、旱作油葵+早熟谷子等种养结合或旱作农业模式，引导农民改变种植习惯。”</w:t>
      </w:r>
    </w:p>
    <w:p>
      <w:pPr>
        <w:spacing w:line="560" w:lineRule="exact"/>
        <w:ind w:firstLine="640" w:firstLineChars="20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中共中央办公厅 国务院办公厅印发《关于创新体制机制推进农业绿色发展的意见》中指出在华北、西北等地下水过度利用区适度压减高耗水作物，在东北地区严格控制旱改水，选育推广节肥、节水、抗病新品种。</w:t>
      </w:r>
    </w:p>
    <w:p>
      <w:pPr>
        <w:spacing w:line="560" w:lineRule="exact"/>
        <w:ind w:firstLine="640" w:firstLineChars="20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谷子具有抗旱、耐瘠、耐盐碱、水分利用效率高的特点，适宜在地下水超采的邢台黑龙港流域种植，以发挥节水增效作用。本项目建立与谷子复种作物的最适宜栽培模式，对河北省农业结构调整，提高水资源利用率、促进农业的可持续发展具有十分重要的现实意义。</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（二）单位工作目标。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通过新技术、新</w:t>
      </w:r>
      <w:r>
        <w:rPr>
          <w:rFonts w:hint="default" w:ascii="Times New Roman" w:hAnsi="Times New Roman" w:cs="Times New Roman"/>
          <w:sz w:val="32"/>
          <w:szCs w:val="32"/>
          <w:lang w:eastAsia="zh-CN"/>
        </w:rPr>
        <w:t>品种</w:t>
      </w:r>
      <w:r>
        <w:rPr>
          <w:rFonts w:hint="default" w:ascii="Times New Roman" w:hAnsi="Times New Roman" w:cs="Times New Roman"/>
          <w:sz w:val="32"/>
          <w:szCs w:val="32"/>
        </w:rPr>
        <w:t>的示范和推广，提高农业生产的效率和效益。</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（三）项目基本情况。</w:t>
      </w:r>
    </w:p>
    <w:p>
      <w:pPr>
        <w:spacing w:line="560" w:lineRule="exact"/>
        <w:ind w:firstLine="640" w:firstLineChars="20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本项目针对河北平原区光照充足、雨热同季、地势平坦、适合机械化作业，同时该区域为特色杂粮主产区、地下水资源紧缺以及综合利用效率低等产业特点，通过中低产田改造升级和地力提升，突破水土资源约束与可持续增产的关键问题，实现中低产田增粮增效和水资源高效利用。</w:t>
      </w:r>
    </w:p>
    <w:p>
      <w:pPr>
        <w:spacing w:line="560" w:lineRule="exact"/>
        <w:ind w:firstLine="640" w:firstLineChars="20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谷子是我国我省的特色杂粮作物，具有抗旱、耐瘠、耐盐碱、水分利用效率高、营养平衡和丰富的特点。随着人们生活水平的提高，对谷子等特色杂粮作物的营养保健价值的重新认识，谷子等杂粮作物的市场需求持续增加，谷子在全生育期基本不用浇水，可比同期作物玉米节约1-2次浇水，以目前谷子、玉米市场价格计算，种植谷子亩产350公斤产量相当于种植玉米亩产900公斤产量。</w:t>
      </w:r>
    </w:p>
    <w:p>
      <w:pPr>
        <w:spacing w:line="560" w:lineRule="exact"/>
        <w:ind w:firstLine="640" w:firstLineChars="20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本项目确定了在杂粮技术创新与集成方面，以谷子为主重点开展以下研究工作：开展夏播杂交谷子筛选试验；开展谷子与不同作物复种栽培技术试验。建立百亩核心示范田1个，通过农机农艺配套，提高生产效率，全程轻简化生产技术示范田较传统生产每亩节支增收260元以上；同时建立夏播杂交谷子轻简高效生产技术规程、建立与谷子复种作物的最适宜栽培模式一套，指导本地区杂交谷生产。在发展绿色农业，推进农业供给侧结构性改革过程中发挥重要的节水、增产、增效作用。</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二、项目绩效目标和指标设定情况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（一）项目总目标、年度目标设定情况。</w:t>
      </w:r>
    </w:p>
    <w:p>
      <w:pPr>
        <w:spacing w:line="560" w:lineRule="exact"/>
        <w:ind w:firstLine="640" w:firstLineChars="200"/>
        <w:rPr>
          <w:rFonts w:hint="default" w:ascii="Times New Roman" w:hAnsi="Times New Roman" w:cs="Times New Roman"/>
          <w:sz w:val="32"/>
          <w:szCs w:val="32"/>
          <w:lang w:val="en-US" w:eastAsia="zh-CN"/>
        </w:rPr>
      </w:pPr>
      <w:r>
        <w:rPr>
          <w:rFonts w:hint="default" w:ascii="Times New Roman" w:hAnsi="Times New Roman" w:cs="Times New Roman"/>
          <w:sz w:val="32"/>
          <w:szCs w:val="32"/>
        </w:rPr>
        <w:t>本项目旨在通过</w:t>
      </w:r>
      <w:r>
        <w:rPr>
          <w:rFonts w:hint="default" w:ascii="Times New Roman" w:hAnsi="Times New Roman" w:cs="Times New Roman"/>
          <w:sz w:val="32"/>
          <w:szCs w:val="32"/>
          <w:lang w:eastAsia="zh-CN"/>
        </w:rPr>
        <w:t>夏播杂交谷</w:t>
      </w:r>
      <w:r>
        <w:rPr>
          <w:rFonts w:hint="default" w:ascii="Times New Roman" w:hAnsi="Times New Roman" w:cs="Times New Roman"/>
          <w:sz w:val="32"/>
          <w:szCs w:val="32"/>
          <w:lang w:val="en-US" w:eastAsia="zh-CN"/>
        </w:rPr>
        <w:t>全程轻简化生产技术</w:t>
      </w:r>
      <w:r>
        <w:rPr>
          <w:rFonts w:hint="default" w:ascii="Times New Roman" w:hAnsi="Times New Roman" w:cs="Times New Roman"/>
          <w:sz w:val="32"/>
          <w:szCs w:val="32"/>
        </w:rPr>
        <w:t>示范基地建设和宣传，加快转化步伐，实现示范区和辐射区</w:t>
      </w:r>
      <w:r>
        <w:rPr>
          <w:rFonts w:hint="default" w:ascii="Times New Roman" w:hAnsi="Times New Roman" w:cs="Times New Roman"/>
          <w:sz w:val="32"/>
          <w:szCs w:val="32"/>
          <w:lang w:eastAsia="zh-CN"/>
        </w:rPr>
        <w:t>谷子</w:t>
      </w:r>
      <w:r>
        <w:rPr>
          <w:rFonts w:hint="default" w:ascii="Times New Roman" w:hAnsi="Times New Roman" w:cs="Times New Roman"/>
          <w:sz w:val="32"/>
          <w:szCs w:val="32"/>
        </w:rPr>
        <w:t>的增产增收</w:t>
      </w:r>
      <w:r>
        <w:rPr>
          <w:rFonts w:hint="default" w:ascii="Times New Roman" w:hAnsi="Times New Roman" w:cs="Times New Roman"/>
          <w:sz w:val="32"/>
          <w:szCs w:val="32"/>
          <w:lang w:eastAsia="zh-CN"/>
        </w:rPr>
        <w:t>，</w:t>
      </w:r>
      <w:r>
        <w:rPr>
          <w:rFonts w:hint="default" w:ascii="Times New Roman" w:hAnsi="Times New Roman" w:cs="Times New Roman"/>
          <w:sz w:val="32"/>
          <w:szCs w:val="32"/>
          <w:lang w:val="en-US" w:eastAsia="zh-CN"/>
        </w:rPr>
        <w:t>指导本地区杂交谷生产。在发展绿色农业，推进农业供给侧结构性改革过程中发挥重要的节水、增产、增效作用。</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设立的年度目标如下：</w:t>
      </w:r>
    </w:p>
    <w:p>
      <w:pPr>
        <w:spacing w:line="560" w:lineRule="exact"/>
        <w:ind w:firstLine="640" w:firstLineChars="200"/>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建立百亩核心示范田1个，示范田较传统生产每亩节支增收260元以上；同时建立夏播杂交谷子轻简高效生产技术规程、建立与谷子复种作物的最适宜栽培模式一套，指导本地区杂交谷生产。</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（二）项目绩效指标设定情况。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1、产出指标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（1）数量指标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lang w:val="en-US" w:eastAsia="zh-CN"/>
        </w:rPr>
        <w:t>建立品种筛选试验田1个；百亩核心示范田1个</w:t>
      </w:r>
      <w:r>
        <w:rPr>
          <w:rFonts w:hint="default" w:ascii="Times New Roman" w:hAnsi="Times New Roman" w:cs="Times New Roman"/>
          <w:sz w:val="32"/>
          <w:szCs w:val="32"/>
        </w:rPr>
        <w:t>。</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（2）质量指标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示范方要成方连片，每个示范点不低于100亩。</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（3）成本指标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在完成项目的同时，尽量节约项目投入。</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2、效果指标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（1）经济效益指标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lang w:val="en-US" w:eastAsia="zh-CN"/>
        </w:rPr>
        <w:t>示范田较传统生产每亩节支增收260元以上</w:t>
      </w:r>
      <w:r>
        <w:rPr>
          <w:rFonts w:hint="default" w:ascii="Times New Roman" w:hAnsi="Times New Roman" w:cs="Times New Roman"/>
          <w:sz w:val="32"/>
          <w:szCs w:val="32"/>
        </w:rPr>
        <w:t>。</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（2）社会效益指标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间接促进</w:t>
      </w:r>
      <w:r>
        <w:rPr>
          <w:rFonts w:hint="default" w:ascii="Times New Roman" w:hAnsi="Times New Roman" w:cs="Times New Roman"/>
          <w:sz w:val="32"/>
          <w:szCs w:val="32"/>
          <w:lang w:eastAsia="zh-CN"/>
        </w:rPr>
        <w:t>谷子</w:t>
      </w:r>
      <w:r>
        <w:rPr>
          <w:rFonts w:hint="default" w:ascii="Times New Roman" w:hAnsi="Times New Roman" w:cs="Times New Roman"/>
          <w:sz w:val="32"/>
          <w:szCs w:val="32"/>
        </w:rPr>
        <w:t>种业和</w:t>
      </w:r>
      <w:r>
        <w:rPr>
          <w:rFonts w:hint="default" w:ascii="Times New Roman" w:hAnsi="Times New Roman" w:cs="Times New Roman"/>
          <w:sz w:val="32"/>
          <w:szCs w:val="32"/>
          <w:lang w:eastAsia="zh-CN"/>
        </w:rPr>
        <w:t>杂粮</w:t>
      </w:r>
      <w:r>
        <w:rPr>
          <w:rFonts w:hint="default" w:ascii="Times New Roman" w:hAnsi="Times New Roman" w:cs="Times New Roman"/>
          <w:sz w:val="32"/>
          <w:szCs w:val="32"/>
        </w:rPr>
        <w:t>产业的发展。</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（3）环境效益指标</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品种的优良特性对生态环境有利。</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三、项目实施绩效管理情况及取得成绩</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（一）计划制定和落实情况。</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1、计划的制定和进度落实</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1～3月份通过调研，撰写了项目的详细实施计划，根据计划进行了各项措施的落实；4～6月，落实</w:t>
      </w:r>
      <w:r>
        <w:rPr>
          <w:rFonts w:hint="default" w:ascii="Times New Roman" w:hAnsi="Times New Roman" w:cs="Times New Roman"/>
          <w:sz w:val="32"/>
          <w:szCs w:val="32"/>
          <w:lang w:eastAsia="zh-CN"/>
        </w:rPr>
        <w:t>试验地点、</w:t>
      </w:r>
      <w:r>
        <w:rPr>
          <w:rFonts w:hint="default" w:ascii="Times New Roman" w:hAnsi="Times New Roman" w:cs="Times New Roman"/>
          <w:sz w:val="32"/>
          <w:szCs w:val="32"/>
        </w:rPr>
        <w:t>示范地点和面积、购买和发放种子、印发技术资料、示范方播种；7～9月，苗情检查、购买化肥、中后期田间管理、培训和观摩、测产；10～12月，示范田收获、总结。</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2、采取的主要措施</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项目的技术路线：以邢台市农科院为技术支撑，立足于高产示范田建设，联合经销商、种植大户构成技术推广的共同体，通过示范带动、观摩培训进行技术扩散，实现优良品种的大面积推广。在此技术路线的框架下采取如下措施：</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（1）搞好调研，选好示范点。</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项目领导小组和项目技术组春季及早谋划，确定了以家庭农场、合作社为主的示范田建设方案，并且进行实地考察，最终确定了</w:t>
      </w:r>
      <w:r>
        <w:rPr>
          <w:rFonts w:hint="default" w:ascii="Times New Roman" w:hAnsi="Times New Roman" w:cs="Times New Roman"/>
          <w:sz w:val="32"/>
          <w:szCs w:val="32"/>
          <w:lang w:eastAsia="zh-CN"/>
        </w:rPr>
        <w:t>巨鹿县柳洼村天泽粮食种植专业合作社为</w:t>
      </w:r>
      <w:r>
        <w:rPr>
          <w:rFonts w:hint="default" w:ascii="Times New Roman" w:hAnsi="Times New Roman" w:cs="Times New Roman"/>
          <w:sz w:val="32"/>
          <w:szCs w:val="32"/>
        </w:rPr>
        <w:t>示范点，以</w:t>
      </w:r>
      <w:r>
        <w:rPr>
          <w:rFonts w:hint="default" w:ascii="Times New Roman" w:hAnsi="Times New Roman" w:cs="Times New Roman"/>
          <w:sz w:val="32"/>
          <w:szCs w:val="32"/>
          <w:lang w:eastAsia="zh-CN"/>
        </w:rPr>
        <w:t>谷子</w:t>
      </w:r>
      <w:r>
        <w:rPr>
          <w:rFonts w:hint="default" w:ascii="Times New Roman" w:hAnsi="Times New Roman" w:cs="Times New Roman"/>
          <w:sz w:val="32"/>
          <w:szCs w:val="32"/>
        </w:rPr>
        <w:t>主产区</w:t>
      </w:r>
      <w:r>
        <w:rPr>
          <w:rFonts w:hint="default" w:ascii="Times New Roman" w:hAnsi="Times New Roman" w:cs="Times New Roman"/>
          <w:sz w:val="32"/>
          <w:szCs w:val="32"/>
          <w:lang w:eastAsia="zh-CN"/>
        </w:rPr>
        <w:t>巨鹿县</w:t>
      </w:r>
      <w:r>
        <w:rPr>
          <w:rFonts w:hint="default" w:ascii="Times New Roman" w:hAnsi="Times New Roman" w:cs="Times New Roman"/>
          <w:sz w:val="32"/>
          <w:szCs w:val="32"/>
        </w:rPr>
        <w:t>为中心，</w:t>
      </w:r>
      <w:r>
        <w:rPr>
          <w:rFonts w:hint="default" w:ascii="Times New Roman" w:hAnsi="Times New Roman" w:cs="Times New Roman"/>
          <w:sz w:val="32"/>
          <w:szCs w:val="32"/>
          <w:lang w:eastAsia="zh-CN"/>
        </w:rPr>
        <w:t>辐射</w:t>
      </w:r>
      <w:r>
        <w:rPr>
          <w:rFonts w:hint="default" w:ascii="Times New Roman" w:hAnsi="Times New Roman" w:cs="Times New Roman"/>
          <w:sz w:val="32"/>
          <w:szCs w:val="32"/>
        </w:rPr>
        <w:t>平乡和</w:t>
      </w:r>
      <w:r>
        <w:rPr>
          <w:rFonts w:hint="default" w:ascii="Times New Roman" w:hAnsi="Times New Roman" w:cs="Times New Roman"/>
          <w:sz w:val="32"/>
          <w:szCs w:val="32"/>
          <w:lang w:eastAsia="zh-CN"/>
        </w:rPr>
        <w:t>隆尧等县</w:t>
      </w:r>
      <w:r>
        <w:rPr>
          <w:rFonts w:hint="default" w:ascii="Times New Roman" w:hAnsi="Times New Roman" w:cs="Times New Roman"/>
          <w:sz w:val="32"/>
          <w:szCs w:val="32"/>
        </w:rPr>
        <w:t>。示范点所属单位重视，水肥条件较好。</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（2）认真规划，示范田成方连片。</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示范点交通相对便利，示范点都做到了成方连片，为技术措施的落实和示范观摩提供了便利。</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（3）抓住关键，落实好各项技术措施。</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为示范点提供</w:t>
      </w:r>
      <w:r>
        <w:rPr>
          <w:rFonts w:hint="default" w:ascii="Times New Roman" w:hAnsi="Times New Roman" w:cs="Times New Roman"/>
          <w:sz w:val="32"/>
          <w:szCs w:val="32"/>
          <w:lang w:eastAsia="zh-CN"/>
        </w:rPr>
        <w:t>治海农业科技公司</w:t>
      </w:r>
      <w:r>
        <w:rPr>
          <w:rFonts w:hint="default" w:ascii="Times New Roman" w:hAnsi="Times New Roman" w:cs="Times New Roman"/>
          <w:sz w:val="32"/>
          <w:szCs w:val="32"/>
        </w:rPr>
        <w:t>生产的高质量的种子，项目组成员亲自参与种子等物资发放，随种子向示范点发放品种说明书和配套高产栽培技术资料，播种、拔节期项目组成员深入田间地头进行技术指导，保证播种期、密度控制、施肥和收获期等项关键技术的正确落实，并通过微信向示范点提供技术咨询。</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（4）做好培训，以点带面进行大面积推广。</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通过现场指导、技术咨询、印发技术资料对农户进行宣传，让种植户充分了解</w:t>
      </w:r>
      <w:r>
        <w:rPr>
          <w:rFonts w:hint="default" w:ascii="Times New Roman" w:hAnsi="Times New Roman" w:cs="Times New Roman"/>
          <w:sz w:val="32"/>
          <w:szCs w:val="32"/>
          <w:lang w:eastAsia="zh-CN"/>
        </w:rPr>
        <w:t>张杂谷</w:t>
      </w:r>
      <w:r>
        <w:rPr>
          <w:rFonts w:hint="default" w:ascii="Times New Roman" w:hAnsi="Times New Roman" w:cs="Times New Roman"/>
          <w:sz w:val="32"/>
          <w:szCs w:val="32"/>
        </w:rPr>
        <w:t>的特点及其配套栽培技术。同时与</w:t>
      </w:r>
      <w:r>
        <w:rPr>
          <w:rFonts w:hint="default" w:ascii="Times New Roman" w:hAnsi="Times New Roman" w:cs="Times New Roman"/>
          <w:sz w:val="32"/>
          <w:szCs w:val="32"/>
          <w:lang w:eastAsia="zh-CN"/>
        </w:rPr>
        <w:t>治海</w:t>
      </w:r>
      <w:r>
        <w:rPr>
          <w:rFonts w:hint="default" w:ascii="Times New Roman" w:hAnsi="Times New Roman" w:cs="Times New Roman"/>
          <w:sz w:val="32"/>
          <w:szCs w:val="32"/>
        </w:rPr>
        <w:t>种业合作，组织种植大户</w:t>
      </w:r>
      <w:r>
        <w:rPr>
          <w:rFonts w:hint="default" w:ascii="Times New Roman" w:hAnsi="Times New Roman" w:cs="Times New Roman"/>
          <w:sz w:val="32"/>
          <w:szCs w:val="32"/>
          <w:lang w:eastAsia="zh-CN"/>
        </w:rPr>
        <w:t>、合作社等</w:t>
      </w:r>
      <w:r>
        <w:rPr>
          <w:rFonts w:hint="default" w:ascii="Times New Roman" w:hAnsi="Times New Roman" w:cs="Times New Roman"/>
          <w:sz w:val="32"/>
          <w:szCs w:val="32"/>
        </w:rPr>
        <w:t>对示范田进行现场观摩活动，由此以点带面进行辐射，扩大其应用范围。</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3、项目实施效果</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（1）</w:t>
      </w:r>
      <w:r>
        <w:rPr>
          <w:rFonts w:hint="default" w:ascii="Times New Roman" w:hAnsi="Times New Roman" w:cs="Times New Roman"/>
          <w:sz w:val="32"/>
          <w:szCs w:val="32"/>
          <w:lang w:eastAsia="zh-CN"/>
        </w:rPr>
        <w:t>品种筛选试验田和</w:t>
      </w:r>
      <w:r>
        <w:rPr>
          <w:rFonts w:hint="default" w:ascii="Times New Roman" w:hAnsi="Times New Roman" w:cs="Times New Roman"/>
          <w:sz w:val="32"/>
          <w:szCs w:val="32"/>
        </w:rPr>
        <w:t>示范地点的落实情况</w:t>
      </w:r>
    </w:p>
    <w:p>
      <w:pPr>
        <w:spacing w:line="560" w:lineRule="exact"/>
        <w:ind w:firstLine="640" w:firstLineChars="200"/>
        <w:rPr>
          <w:rFonts w:hint="default" w:ascii="Times New Roman" w:hAnsi="Times New Roman" w:cs="Times New Roman"/>
          <w:color w:val="auto"/>
          <w:sz w:val="32"/>
          <w:szCs w:val="32"/>
        </w:rPr>
      </w:pPr>
      <w:r>
        <w:rPr>
          <w:rFonts w:hint="default" w:ascii="Times New Roman" w:hAnsi="Times New Roman" w:cs="Times New Roman"/>
          <w:sz w:val="32"/>
          <w:szCs w:val="32"/>
          <w:lang w:eastAsia="zh-CN"/>
        </w:rPr>
        <w:t>品种筛选试验田面积为</w:t>
      </w:r>
      <w:r>
        <w:rPr>
          <w:rFonts w:hint="default" w:ascii="Times New Roman" w:hAnsi="Times New Roman" w:cs="Times New Roman"/>
          <w:sz w:val="32"/>
          <w:szCs w:val="32"/>
          <w:lang w:val="en-US" w:eastAsia="zh-CN"/>
        </w:rPr>
        <w:t>20亩；</w:t>
      </w:r>
      <w:r>
        <w:rPr>
          <w:rFonts w:hint="default" w:ascii="Times New Roman" w:hAnsi="Times New Roman" w:cs="Times New Roman"/>
          <w:sz w:val="32"/>
          <w:szCs w:val="32"/>
        </w:rPr>
        <w:t>高产示范方面积为1</w:t>
      </w:r>
      <w:r>
        <w:rPr>
          <w:rFonts w:hint="default" w:ascii="Times New Roman" w:hAnsi="Times New Roman" w:cs="Times New Roman"/>
          <w:sz w:val="32"/>
          <w:szCs w:val="32"/>
          <w:lang w:val="en-US" w:eastAsia="zh-CN"/>
        </w:rPr>
        <w:t>00</w:t>
      </w:r>
      <w:r>
        <w:rPr>
          <w:rFonts w:hint="default" w:ascii="Times New Roman" w:hAnsi="Times New Roman" w:cs="Times New Roman"/>
          <w:sz w:val="32"/>
          <w:szCs w:val="32"/>
        </w:rPr>
        <w:t>亩。示</w:t>
      </w:r>
      <w:r>
        <w:rPr>
          <w:rFonts w:hint="default" w:ascii="Times New Roman" w:hAnsi="Times New Roman" w:cs="Times New Roman"/>
          <w:color w:val="auto"/>
          <w:sz w:val="32"/>
          <w:szCs w:val="32"/>
        </w:rPr>
        <w:t>范点</w:t>
      </w:r>
      <w:r>
        <w:rPr>
          <w:rFonts w:hint="default" w:ascii="Times New Roman" w:hAnsi="Times New Roman" w:cs="Times New Roman"/>
          <w:color w:val="auto"/>
          <w:sz w:val="32"/>
          <w:szCs w:val="32"/>
          <w:lang w:eastAsia="zh-CN"/>
        </w:rPr>
        <w:t>选在巨鹿县柳洼村天泽粮食种植合作社，</w:t>
      </w:r>
      <w:r>
        <w:rPr>
          <w:rFonts w:hint="default" w:ascii="Times New Roman" w:hAnsi="Times New Roman" w:cs="Times New Roman"/>
          <w:color w:val="auto"/>
          <w:sz w:val="32"/>
          <w:szCs w:val="32"/>
        </w:rPr>
        <w:t>水肥条件较好，便于高产栽培措施的落实。</w:t>
      </w:r>
    </w:p>
    <w:p>
      <w:pPr>
        <w:spacing w:line="560" w:lineRule="exact"/>
        <w:ind w:firstLine="640"/>
        <w:rPr>
          <w:rFonts w:hint="default" w:ascii="Times New Roman" w:hAnsi="Times New Roman" w:cs="Times New Roman"/>
          <w:color w:val="auto"/>
          <w:sz w:val="32"/>
          <w:szCs w:val="32"/>
        </w:rPr>
      </w:pPr>
      <w:r>
        <w:rPr>
          <w:rFonts w:hint="default" w:ascii="Times New Roman" w:hAnsi="Times New Roman" w:cs="Times New Roman"/>
          <w:color w:val="auto"/>
          <w:sz w:val="32"/>
          <w:szCs w:val="32"/>
        </w:rPr>
        <w:t>（</w:t>
      </w:r>
      <w:r>
        <w:rPr>
          <w:rFonts w:hint="default" w:ascii="Times New Roman" w:hAnsi="Times New Roman" w:cs="Times New Roman"/>
          <w:color w:val="auto"/>
          <w:sz w:val="32"/>
          <w:szCs w:val="32"/>
          <w:lang w:val="en-US" w:eastAsia="zh-CN"/>
        </w:rPr>
        <w:t>2</w:t>
      </w:r>
      <w:r>
        <w:rPr>
          <w:rFonts w:hint="default" w:ascii="Times New Roman" w:hAnsi="Times New Roman" w:cs="Times New Roman"/>
          <w:color w:val="auto"/>
          <w:sz w:val="32"/>
          <w:szCs w:val="32"/>
        </w:rPr>
        <w:t>）推广面积</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以示范田为基础辐射推广，</w:t>
      </w:r>
      <w:r>
        <w:rPr>
          <w:rFonts w:hint="default" w:ascii="Times New Roman" w:hAnsi="Times New Roman" w:cs="Times New Roman"/>
          <w:sz w:val="32"/>
          <w:szCs w:val="32"/>
          <w:lang w:val="en-US" w:eastAsia="zh-CN"/>
        </w:rPr>
        <w:t>2015-</w:t>
      </w:r>
      <w:r>
        <w:rPr>
          <w:rFonts w:hint="default" w:ascii="Times New Roman" w:hAnsi="Times New Roman" w:cs="Times New Roman"/>
          <w:sz w:val="32"/>
          <w:szCs w:val="32"/>
        </w:rPr>
        <w:t>201</w:t>
      </w:r>
      <w:r>
        <w:rPr>
          <w:rFonts w:hint="default" w:ascii="Times New Roman" w:hAnsi="Times New Roman" w:cs="Times New Roman"/>
          <w:sz w:val="32"/>
          <w:szCs w:val="32"/>
          <w:lang w:val="en-US" w:eastAsia="zh-CN"/>
        </w:rPr>
        <w:t>8四</w:t>
      </w:r>
      <w:r>
        <w:rPr>
          <w:rFonts w:hint="default" w:ascii="Times New Roman" w:hAnsi="Times New Roman" w:cs="Times New Roman"/>
          <w:sz w:val="32"/>
          <w:szCs w:val="32"/>
        </w:rPr>
        <w:t>年在邢台市推广种植</w:t>
      </w:r>
      <w:r>
        <w:rPr>
          <w:rFonts w:hint="default" w:ascii="Times New Roman" w:hAnsi="Times New Roman" w:cs="Times New Roman"/>
          <w:sz w:val="32"/>
          <w:szCs w:val="32"/>
          <w:lang w:val="en-US" w:eastAsia="zh-CN"/>
        </w:rPr>
        <w:t>13.76</w:t>
      </w:r>
      <w:r>
        <w:rPr>
          <w:rFonts w:hint="default" w:ascii="Times New Roman" w:hAnsi="Times New Roman" w:cs="Times New Roman"/>
          <w:sz w:val="32"/>
          <w:szCs w:val="32"/>
        </w:rPr>
        <w:t>万亩。</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（4）技术培训和资料发放</w:t>
      </w:r>
    </w:p>
    <w:p>
      <w:pPr>
        <w:spacing w:line="560" w:lineRule="exact"/>
        <w:ind w:firstLine="640"/>
        <w:rPr>
          <w:rFonts w:hint="default" w:ascii="Times New Roman" w:hAnsi="Times New Roman" w:cs="Times New Roman"/>
          <w:sz w:val="32"/>
          <w:szCs w:val="32"/>
          <w:lang w:eastAsia="zh-CN"/>
        </w:rPr>
      </w:pPr>
      <w:r>
        <w:rPr>
          <w:rFonts w:hint="default" w:ascii="Times New Roman" w:hAnsi="Times New Roman" w:cs="Times New Roman"/>
          <w:sz w:val="32"/>
          <w:szCs w:val="32"/>
        </w:rPr>
        <w:t>播种前发放品种特点及高产栽培技术要点的资料</w:t>
      </w:r>
      <w:r>
        <w:rPr>
          <w:rFonts w:hint="default" w:ascii="Times New Roman" w:hAnsi="Times New Roman" w:cs="Times New Roman"/>
          <w:sz w:val="32"/>
          <w:szCs w:val="32"/>
          <w:lang w:val="en-US" w:eastAsia="zh-CN"/>
        </w:rPr>
        <w:t>1</w:t>
      </w:r>
      <w:r>
        <w:rPr>
          <w:rFonts w:hint="default" w:ascii="Times New Roman" w:hAnsi="Times New Roman" w:cs="Times New Roman"/>
          <w:sz w:val="32"/>
          <w:szCs w:val="32"/>
        </w:rPr>
        <w:t>000份，并对家庭农场（合作社）的技术负责人进行了面对面技术咨询</w:t>
      </w:r>
      <w:r>
        <w:rPr>
          <w:rFonts w:hint="default" w:ascii="Times New Roman" w:hAnsi="Times New Roman" w:cs="Times New Roman"/>
          <w:sz w:val="32"/>
          <w:szCs w:val="32"/>
          <w:lang w:eastAsia="zh-CN"/>
        </w:rPr>
        <w:t>，</w:t>
      </w:r>
      <w:r>
        <w:rPr>
          <w:rFonts w:hint="default" w:ascii="Times New Roman" w:hAnsi="Times New Roman" w:cs="Times New Roman"/>
          <w:sz w:val="32"/>
          <w:szCs w:val="32"/>
        </w:rPr>
        <w:t>同时与</w:t>
      </w:r>
      <w:r>
        <w:rPr>
          <w:rFonts w:hint="default" w:ascii="Times New Roman" w:hAnsi="Times New Roman" w:cs="Times New Roman"/>
          <w:sz w:val="32"/>
          <w:szCs w:val="32"/>
          <w:lang w:eastAsia="zh-CN"/>
        </w:rPr>
        <w:t>治海</w:t>
      </w:r>
      <w:r>
        <w:rPr>
          <w:rFonts w:hint="default" w:ascii="Times New Roman" w:hAnsi="Times New Roman" w:cs="Times New Roman"/>
          <w:sz w:val="32"/>
          <w:szCs w:val="32"/>
        </w:rPr>
        <w:t>种业合作，组织种植大户</w:t>
      </w:r>
      <w:r>
        <w:rPr>
          <w:rFonts w:hint="default" w:ascii="Times New Roman" w:hAnsi="Times New Roman" w:cs="Times New Roman"/>
          <w:sz w:val="32"/>
          <w:szCs w:val="32"/>
          <w:lang w:eastAsia="zh-CN"/>
        </w:rPr>
        <w:t>、合作社等</w:t>
      </w:r>
      <w:r>
        <w:rPr>
          <w:rFonts w:hint="default" w:ascii="Times New Roman" w:hAnsi="Times New Roman" w:cs="Times New Roman"/>
          <w:sz w:val="32"/>
          <w:szCs w:val="32"/>
        </w:rPr>
        <w:t>对示范田进行现场观摩活动</w:t>
      </w:r>
      <w:r>
        <w:rPr>
          <w:rFonts w:hint="default" w:ascii="Times New Roman" w:hAnsi="Times New Roman" w:cs="Times New Roman"/>
          <w:sz w:val="32"/>
          <w:szCs w:val="32"/>
          <w:lang w:eastAsia="zh-CN"/>
        </w:rPr>
        <w:t>。</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（5）取得的经济效益、社会效益和环境效益</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通过</w:t>
      </w:r>
      <w:r>
        <w:rPr>
          <w:rFonts w:hint="default" w:ascii="Times New Roman" w:hAnsi="Times New Roman" w:cs="Times New Roman"/>
          <w:sz w:val="32"/>
          <w:szCs w:val="32"/>
          <w:lang w:val="en-US" w:eastAsia="zh-CN"/>
        </w:rPr>
        <w:t>2015-2018四年在巨鹿县的研究与</w:t>
      </w:r>
      <w:r>
        <w:rPr>
          <w:rFonts w:hint="default" w:ascii="Times New Roman" w:hAnsi="Times New Roman" w:cs="Times New Roman"/>
          <w:sz w:val="32"/>
          <w:szCs w:val="32"/>
        </w:rPr>
        <w:t>示范推广，累计推广面积达13.76万亩，可节约成本3430.2万元，新增利润8470.96万元。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（二）执行绩效监控情况。</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1、健全组织机构,加强对项目的管理。</w:t>
      </w:r>
    </w:p>
    <w:p>
      <w:pPr>
        <w:spacing w:line="560" w:lineRule="exact"/>
        <w:ind w:firstLine="640"/>
        <w:rPr>
          <w:rFonts w:hint="default" w:ascii="Times New Roman" w:hAnsi="Times New Roman" w:cs="Times New Roman"/>
          <w:sz w:val="32"/>
          <w:szCs w:val="32"/>
        </w:rPr>
      </w:pPr>
      <w:r>
        <w:rPr>
          <w:rFonts w:hint="default" w:ascii="Times New Roman" w:hAnsi="Times New Roman" w:cs="Times New Roman"/>
          <w:sz w:val="32"/>
          <w:szCs w:val="32"/>
        </w:rPr>
        <w:t>成立了以主管院长和科管处组成的项目领导小组,按照相关规定对项目进行协调和监管,以</w:t>
      </w:r>
      <w:r>
        <w:rPr>
          <w:rFonts w:hint="default" w:ascii="Times New Roman" w:hAnsi="Times New Roman" w:cs="Times New Roman"/>
          <w:sz w:val="32"/>
          <w:szCs w:val="32"/>
          <w:lang w:eastAsia="zh-CN"/>
        </w:rPr>
        <w:t>科管处</w:t>
      </w:r>
      <w:r>
        <w:rPr>
          <w:rFonts w:hint="default" w:ascii="Times New Roman" w:hAnsi="Times New Roman" w:cs="Times New Roman"/>
          <w:sz w:val="32"/>
          <w:szCs w:val="32"/>
        </w:rPr>
        <w:t>为主体成立项目实施小组,具体负责项目的实施方案制定、示范地点落实、配套栽培技术的实施、技术指导、技术咨询和培训等工作，为项目的顺利实施提供了组织保障。</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2、关键期对项目工作进行督促和检查。</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关键期进行技术服务、技术指导工作的同时，对个示范点的地块落实、苗情、水肥应用等情况进行检查和督促，以保证各项技术措施的顺利落实。</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3、收获前进行测产。</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收获前由项目组对各示范方进行了测产工作，监测产量结果，总结经验教训。</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（三）资金管理情况。说明资金到位、自筹资金落实和实际支出等情况。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该项目总投资1</w:t>
      </w:r>
      <w:r>
        <w:rPr>
          <w:rFonts w:hint="default" w:ascii="Times New Roman" w:hAnsi="Times New Roman" w:cs="Times New Roman"/>
          <w:sz w:val="32"/>
          <w:szCs w:val="32"/>
          <w:lang w:val="en-US" w:eastAsia="zh-CN"/>
        </w:rPr>
        <w:t>0</w:t>
      </w:r>
      <w:r>
        <w:rPr>
          <w:rFonts w:hint="default" w:ascii="Times New Roman" w:hAnsi="Times New Roman" w:cs="Times New Roman"/>
          <w:sz w:val="32"/>
          <w:szCs w:val="32"/>
        </w:rPr>
        <w:t>万元，全部为财政资金，项目资金足额、及时到位，投资计划完成情况如下：</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1、材料费</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1.5</w:t>
      </w:r>
      <w:r>
        <w:rPr>
          <w:rFonts w:hint="default" w:ascii="Times New Roman" w:hAnsi="Times New Roman" w:cs="Times New Roman"/>
          <w:sz w:val="32"/>
          <w:szCs w:val="32"/>
        </w:rPr>
        <w:t>万元，实际支出</w:t>
      </w:r>
      <w:r>
        <w:rPr>
          <w:rFonts w:hint="default" w:ascii="Times New Roman" w:hAnsi="Times New Roman" w:cs="Times New Roman"/>
          <w:sz w:val="32"/>
          <w:szCs w:val="32"/>
          <w:lang w:val="en-US" w:eastAsia="zh-CN"/>
        </w:rPr>
        <w:t>3.2264</w:t>
      </w:r>
      <w:r>
        <w:rPr>
          <w:rFonts w:hint="default" w:ascii="Times New Roman" w:hAnsi="Times New Roman" w:cs="Times New Roman"/>
          <w:sz w:val="32"/>
          <w:szCs w:val="32"/>
        </w:rPr>
        <w:t>万元。</w:t>
      </w:r>
    </w:p>
    <w:p>
      <w:pPr>
        <w:numPr>
          <w:ilvl w:val="0"/>
          <w:numId w:val="1"/>
        </w:numPr>
        <w:spacing w:line="560" w:lineRule="exact"/>
        <w:ind w:firstLine="640" w:firstLineChars="200"/>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燃料费</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0</w:t>
      </w:r>
      <w:r>
        <w:rPr>
          <w:rFonts w:hint="eastAsia" w:cs="Times New Roman"/>
          <w:sz w:val="32"/>
          <w:szCs w:val="32"/>
          <w:lang w:val="en-US" w:eastAsia="zh-CN"/>
        </w:rPr>
        <w:t>万</w:t>
      </w:r>
      <w:bookmarkStart w:id="0" w:name="_GoBack"/>
      <w:bookmarkEnd w:id="0"/>
      <w:r>
        <w:rPr>
          <w:rFonts w:hint="default" w:ascii="Times New Roman" w:hAnsi="Times New Roman" w:cs="Times New Roman"/>
          <w:sz w:val="32"/>
          <w:szCs w:val="32"/>
        </w:rPr>
        <w:t>元，实际支出</w:t>
      </w:r>
      <w:r>
        <w:rPr>
          <w:rFonts w:hint="default" w:ascii="Times New Roman" w:hAnsi="Times New Roman" w:cs="Times New Roman"/>
          <w:sz w:val="32"/>
          <w:szCs w:val="32"/>
          <w:lang w:val="en-US" w:eastAsia="zh-CN"/>
        </w:rPr>
        <w:t>0.5</w:t>
      </w:r>
      <w:r>
        <w:rPr>
          <w:rFonts w:hint="default" w:ascii="Times New Roman" w:hAnsi="Times New Roman" w:cs="Times New Roman"/>
          <w:sz w:val="32"/>
          <w:szCs w:val="32"/>
        </w:rPr>
        <w:t>万元。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lang w:val="en-US" w:eastAsia="zh-CN"/>
        </w:rPr>
        <w:t>3</w:t>
      </w:r>
      <w:r>
        <w:rPr>
          <w:rFonts w:hint="default" w:ascii="Times New Roman" w:hAnsi="Times New Roman" w:cs="Times New Roman"/>
          <w:sz w:val="32"/>
          <w:szCs w:val="32"/>
        </w:rPr>
        <w:t>、劳务费</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5.4</w:t>
      </w:r>
      <w:r>
        <w:rPr>
          <w:rFonts w:hint="default" w:ascii="Times New Roman" w:hAnsi="Times New Roman" w:cs="Times New Roman"/>
          <w:sz w:val="32"/>
          <w:szCs w:val="32"/>
        </w:rPr>
        <w:t>万元，实际支出</w:t>
      </w:r>
      <w:r>
        <w:rPr>
          <w:rFonts w:hint="default" w:ascii="Times New Roman" w:hAnsi="Times New Roman" w:cs="Times New Roman"/>
          <w:sz w:val="32"/>
          <w:szCs w:val="32"/>
          <w:lang w:val="en-US" w:eastAsia="zh-CN"/>
        </w:rPr>
        <w:t>5.3</w:t>
      </w:r>
      <w:r>
        <w:rPr>
          <w:rFonts w:hint="default" w:ascii="Times New Roman" w:hAnsi="Times New Roman" w:cs="Times New Roman"/>
          <w:sz w:val="32"/>
          <w:szCs w:val="32"/>
        </w:rPr>
        <w:t>万元。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lang w:val="en-US" w:eastAsia="zh-CN"/>
        </w:rPr>
        <w:t>4</w:t>
      </w:r>
      <w:r>
        <w:rPr>
          <w:rFonts w:hint="default" w:ascii="Times New Roman" w:hAnsi="Times New Roman" w:cs="Times New Roman"/>
          <w:sz w:val="32"/>
          <w:szCs w:val="32"/>
        </w:rPr>
        <w:t>、差旅费</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0.8</w:t>
      </w:r>
      <w:r>
        <w:rPr>
          <w:rFonts w:hint="default" w:ascii="Times New Roman" w:hAnsi="Times New Roman" w:cs="Times New Roman"/>
          <w:sz w:val="32"/>
          <w:szCs w:val="32"/>
        </w:rPr>
        <w:t>万元，实际支出</w:t>
      </w:r>
      <w:r>
        <w:rPr>
          <w:rFonts w:hint="default" w:ascii="Times New Roman" w:hAnsi="Times New Roman" w:cs="Times New Roman"/>
          <w:sz w:val="32"/>
          <w:szCs w:val="32"/>
          <w:lang w:val="en-US" w:eastAsia="zh-CN"/>
        </w:rPr>
        <w:t>0.2596</w:t>
      </w:r>
      <w:r>
        <w:rPr>
          <w:rFonts w:hint="default" w:ascii="Times New Roman" w:hAnsi="Times New Roman" w:cs="Times New Roman"/>
          <w:sz w:val="32"/>
          <w:szCs w:val="32"/>
        </w:rPr>
        <w:t>万元。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lang w:val="en-US" w:eastAsia="zh-CN"/>
        </w:rPr>
        <w:t>5</w:t>
      </w:r>
      <w:r>
        <w:rPr>
          <w:rFonts w:hint="default" w:ascii="Times New Roman" w:hAnsi="Times New Roman" w:cs="Times New Roman"/>
          <w:sz w:val="32"/>
          <w:szCs w:val="32"/>
        </w:rPr>
        <w:t>、</w:t>
      </w:r>
      <w:r>
        <w:rPr>
          <w:rFonts w:hint="default" w:ascii="Times New Roman" w:hAnsi="Times New Roman" w:cs="Times New Roman"/>
          <w:sz w:val="32"/>
          <w:szCs w:val="32"/>
          <w:lang w:eastAsia="zh-CN"/>
        </w:rPr>
        <w:t>专家咨询</w:t>
      </w:r>
      <w:r>
        <w:rPr>
          <w:rFonts w:hint="default" w:ascii="Times New Roman" w:hAnsi="Times New Roman" w:cs="Times New Roman"/>
          <w:sz w:val="32"/>
          <w:szCs w:val="32"/>
        </w:rPr>
        <w:t>费</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0.3</w:t>
      </w:r>
      <w:r>
        <w:rPr>
          <w:rFonts w:hint="default" w:ascii="Times New Roman" w:hAnsi="Times New Roman" w:cs="Times New Roman"/>
          <w:sz w:val="32"/>
          <w:szCs w:val="32"/>
        </w:rPr>
        <w:t>万元，实际支出</w:t>
      </w:r>
      <w:r>
        <w:rPr>
          <w:rFonts w:hint="default" w:ascii="Times New Roman" w:hAnsi="Times New Roman" w:cs="Times New Roman"/>
          <w:sz w:val="32"/>
          <w:szCs w:val="32"/>
          <w:lang w:val="en-US" w:eastAsia="zh-CN"/>
        </w:rPr>
        <w:t>0.3</w:t>
      </w:r>
      <w:r>
        <w:rPr>
          <w:rFonts w:hint="default" w:ascii="Times New Roman" w:hAnsi="Times New Roman" w:cs="Times New Roman"/>
          <w:sz w:val="32"/>
          <w:szCs w:val="32"/>
        </w:rPr>
        <w:t>万元。</w:t>
      </w:r>
    </w:p>
    <w:p>
      <w:pPr>
        <w:spacing w:line="560" w:lineRule="exact"/>
        <w:ind w:firstLine="640" w:firstLineChars="200"/>
        <w:rPr>
          <w:rFonts w:hint="default" w:ascii="Times New Roman" w:hAnsi="Times New Roman" w:eastAsia="宋体" w:cs="Times New Roman"/>
          <w:sz w:val="32"/>
          <w:szCs w:val="32"/>
          <w:lang w:eastAsia="zh-CN"/>
        </w:rPr>
      </w:pPr>
      <w:r>
        <w:rPr>
          <w:rFonts w:hint="default" w:ascii="Times New Roman" w:hAnsi="Times New Roman" w:cs="Times New Roman"/>
          <w:sz w:val="32"/>
          <w:szCs w:val="32"/>
          <w:lang w:val="en-US" w:eastAsia="zh-CN"/>
        </w:rPr>
        <w:t>6</w:t>
      </w:r>
      <w:r>
        <w:rPr>
          <w:rFonts w:hint="default" w:ascii="Times New Roman" w:hAnsi="Times New Roman" w:cs="Times New Roman"/>
          <w:sz w:val="32"/>
          <w:szCs w:val="32"/>
        </w:rPr>
        <w:t xml:space="preserve"> 、</w:t>
      </w:r>
      <w:r>
        <w:rPr>
          <w:rFonts w:hint="default" w:ascii="Times New Roman" w:hAnsi="Times New Roman" w:cs="Times New Roman"/>
          <w:sz w:val="32"/>
          <w:szCs w:val="32"/>
          <w:lang w:eastAsia="zh-CN"/>
        </w:rPr>
        <w:t>其他</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计划支出</w:t>
      </w:r>
      <w:r>
        <w:rPr>
          <w:rFonts w:hint="default" w:ascii="Times New Roman" w:hAnsi="Times New Roman" w:cs="Times New Roman"/>
          <w:sz w:val="32"/>
          <w:szCs w:val="32"/>
          <w:lang w:val="en-US" w:eastAsia="zh-CN"/>
        </w:rPr>
        <w:t>0.5万</w:t>
      </w:r>
      <w:r>
        <w:rPr>
          <w:rFonts w:hint="default" w:ascii="Times New Roman" w:hAnsi="Times New Roman" w:cs="Times New Roman"/>
          <w:sz w:val="32"/>
          <w:szCs w:val="32"/>
        </w:rPr>
        <w:t>元，实际支出</w:t>
      </w:r>
      <w:r>
        <w:rPr>
          <w:rFonts w:hint="default" w:ascii="Times New Roman" w:hAnsi="Times New Roman" w:cs="Times New Roman"/>
          <w:sz w:val="32"/>
          <w:szCs w:val="32"/>
          <w:lang w:val="en-US" w:eastAsia="zh-CN"/>
        </w:rPr>
        <w:t>0.414万</w:t>
      </w:r>
      <w:r>
        <w:rPr>
          <w:rFonts w:hint="default" w:ascii="Times New Roman" w:hAnsi="Times New Roman" w:cs="Times New Roman"/>
          <w:sz w:val="32"/>
          <w:szCs w:val="32"/>
        </w:rPr>
        <w:t>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合计支出1</w:t>
      </w:r>
      <w:r>
        <w:rPr>
          <w:rFonts w:hint="default" w:ascii="Times New Roman" w:hAnsi="Times New Roman" w:cs="Times New Roman"/>
          <w:sz w:val="32"/>
          <w:szCs w:val="32"/>
          <w:lang w:val="en-US" w:eastAsia="zh-CN"/>
        </w:rPr>
        <w:t>0万</w:t>
      </w:r>
      <w:r>
        <w:rPr>
          <w:rFonts w:hint="default" w:ascii="Times New Roman" w:hAnsi="Times New Roman" w:cs="Times New Roman"/>
          <w:sz w:val="32"/>
          <w:szCs w:val="32"/>
        </w:rPr>
        <w:t>元。</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（四）绩效管理制度建设及执行情况。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该项目的绩效目标纳入单位内部的绩效目标进行管理，每季度进行调度、督促和总结。</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（五）风险管理情况。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本项目存在自然灾害等不可抗力因素导致</w:t>
      </w:r>
      <w:r>
        <w:rPr>
          <w:rFonts w:hint="default" w:ascii="Times New Roman" w:hAnsi="Times New Roman" w:cs="Times New Roman"/>
          <w:sz w:val="32"/>
          <w:szCs w:val="32"/>
          <w:lang w:eastAsia="zh-CN"/>
        </w:rPr>
        <w:t>谷子</w:t>
      </w:r>
      <w:r>
        <w:rPr>
          <w:rFonts w:hint="default" w:ascii="Times New Roman" w:hAnsi="Times New Roman" w:cs="Times New Roman"/>
          <w:sz w:val="32"/>
          <w:szCs w:val="32"/>
        </w:rPr>
        <w:t>示范受影响的风险因素，处置方法主要包括种子包装袋标注风险提示、栽培技术要点中提出预防措施等。本年该项目无风险发生。</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四、项目绩效自评情况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（一）项目自评组织情况。</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邀请院学术委员会有关专家，按照规定标准对该项目的绩效进行了结果自评。</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（二）项目评价结果。</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color w:val="auto"/>
          <w:sz w:val="32"/>
          <w:szCs w:val="32"/>
        </w:rPr>
        <w:t>工作活动设置</w:t>
      </w:r>
      <w:r>
        <w:rPr>
          <w:rFonts w:hint="default" w:ascii="Times New Roman" w:hAnsi="Times New Roman" w:cs="Times New Roman"/>
          <w:color w:val="auto"/>
          <w:sz w:val="32"/>
          <w:szCs w:val="32"/>
          <w:lang w:val="en-US" w:eastAsia="zh-CN"/>
        </w:rPr>
        <w:t>15</w:t>
      </w:r>
      <w:r>
        <w:rPr>
          <w:rFonts w:hint="default" w:ascii="Times New Roman" w:hAnsi="Times New Roman" w:cs="Times New Roman"/>
          <w:color w:val="auto"/>
          <w:sz w:val="32"/>
          <w:szCs w:val="32"/>
        </w:rPr>
        <w:t>分，工作活动管理</w:t>
      </w:r>
      <w:r>
        <w:rPr>
          <w:rFonts w:hint="default" w:ascii="Times New Roman" w:hAnsi="Times New Roman" w:cs="Times New Roman"/>
          <w:color w:val="auto"/>
          <w:sz w:val="32"/>
          <w:szCs w:val="32"/>
          <w:lang w:val="en-US" w:eastAsia="zh-CN"/>
        </w:rPr>
        <w:t>25</w:t>
      </w:r>
      <w:r>
        <w:rPr>
          <w:rFonts w:hint="default" w:ascii="Times New Roman" w:hAnsi="Times New Roman" w:cs="Times New Roman"/>
          <w:color w:val="auto"/>
          <w:sz w:val="32"/>
          <w:szCs w:val="32"/>
        </w:rPr>
        <w:t>分，工作活动产出</w:t>
      </w:r>
      <w:r>
        <w:rPr>
          <w:rFonts w:hint="default" w:ascii="Times New Roman" w:hAnsi="Times New Roman" w:cs="Times New Roman"/>
          <w:color w:val="auto"/>
          <w:sz w:val="32"/>
          <w:szCs w:val="32"/>
          <w:lang w:val="en-US" w:eastAsia="zh-CN"/>
        </w:rPr>
        <w:t>24</w:t>
      </w:r>
      <w:r>
        <w:rPr>
          <w:rFonts w:hint="default" w:ascii="Times New Roman" w:hAnsi="Times New Roman" w:cs="Times New Roman"/>
          <w:color w:val="auto"/>
          <w:sz w:val="32"/>
          <w:szCs w:val="32"/>
        </w:rPr>
        <w:t>分，工作活动效果</w:t>
      </w:r>
      <w:r>
        <w:rPr>
          <w:rFonts w:hint="default" w:ascii="Times New Roman" w:hAnsi="Times New Roman" w:cs="Times New Roman"/>
          <w:color w:val="auto"/>
          <w:sz w:val="32"/>
          <w:szCs w:val="32"/>
          <w:lang w:val="en-US" w:eastAsia="zh-CN"/>
        </w:rPr>
        <w:t>31</w:t>
      </w:r>
      <w:r>
        <w:rPr>
          <w:rFonts w:hint="default" w:ascii="Times New Roman" w:hAnsi="Times New Roman" w:cs="Times New Roman"/>
          <w:color w:val="auto"/>
          <w:sz w:val="32"/>
          <w:szCs w:val="32"/>
        </w:rPr>
        <w:t>分，绩</w:t>
      </w:r>
      <w:r>
        <w:rPr>
          <w:rFonts w:hint="default" w:ascii="Times New Roman" w:hAnsi="Times New Roman" w:cs="Times New Roman"/>
          <w:sz w:val="32"/>
          <w:szCs w:val="32"/>
        </w:rPr>
        <w:t>效评价总得分9</w:t>
      </w:r>
      <w:r>
        <w:rPr>
          <w:rFonts w:hint="default" w:ascii="Times New Roman" w:hAnsi="Times New Roman" w:cs="Times New Roman"/>
          <w:sz w:val="32"/>
          <w:szCs w:val="32"/>
          <w:lang w:val="en-US" w:eastAsia="zh-CN"/>
        </w:rPr>
        <w:t>5</w:t>
      </w:r>
      <w:r>
        <w:rPr>
          <w:rFonts w:hint="default" w:ascii="Times New Roman" w:hAnsi="Times New Roman" w:cs="Times New Roman"/>
          <w:sz w:val="32"/>
          <w:szCs w:val="32"/>
        </w:rPr>
        <w:t>分。</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五、项目存在的问题、改进工作的意见及建议</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（一）示范规模与示范点布局</w:t>
      </w:r>
    </w:p>
    <w:p>
      <w:pPr>
        <w:spacing w:line="560" w:lineRule="exact"/>
        <w:ind w:firstLine="640" w:firstLineChars="200"/>
        <w:rPr>
          <w:rFonts w:hint="default" w:ascii="Times New Roman" w:hAnsi="Times New Roman" w:cs="Times New Roman"/>
          <w:sz w:val="32"/>
          <w:szCs w:val="32"/>
        </w:rPr>
      </w:pPr>
      <w:r>
        <w:rPr>
          <w:rFonts w:hint="default" w:ascii="Times New Roman" w:hAnsi="Times New Roman" w:cs="Times New Roman"/>
          <w:sz w:val="32"/>
          <w:szCs w:val="32"/>
        </w:rPr>
        <w:t>该项目</w:t>
      </w:r>
      <w:r>
        <w:rPr>
          <w:rFonts w:hint="default" w:ascii="Times New Roman" w:hAnsi="Times New Roman" w:cs="Times New Roman"/>
          <w:sz w:val="32"/>
          <w:szCs w:val="32"/>
          <w:lang w:eastAsia="zh-CN"/>
        </w:rPr>
        <w:t>针对</w:t>
      </w:r>
      <w:r>
        <w:rPr>
          <w:rFonts w:hint="default" w:ascii="Times New Roman" w:hAnsi="Times New Roman" w:cs="Times New Roman"/>
          <w:sz w:val="32"/>
          <w:szCs w:val="32"/>
          <w:lang w:val="en-US" w:eastAsia="zh-CN"/>
        </w:rPr>
        <w:t>地下水资源紧缺的黑龙港流域，同时该区域为特色杂粮主产区，开展谷子轻简化栽培技术及复种模式的研究可为农民提供一条新的种植思路。因此</w:t>
      </w:r>
      <w:r>
        <w:rPr>
          <w:rFonts w:hint="default" w:ascii="Times New Roman" w:hAnsi="Times New Roman" w:cs="Times New Roman"/>
          <w:sz w:val="32"/>
          <w:szCs w:val="32"/>
        </w:rPr>
        <w:t>示范推广项目，为了促进新品种</w:t>
      </w:r>
      <w:r>
        <w:rPr>
          <w:rFonts w:hint="default" w:ascii="Times New Roman" w:hAnsi="Times New Roman" w:cs="Times New Roman"/>
          <w:sz w:val="32"/>
          <w:szCs w:val="32"/>
          <w:lang w:eastAsia="zh-CN"/>
        </w:rPr>
        <w:t>、新种植模式</w:t>
      </w:r>
      <w:r>
        <w:rPr>
          <w:rFonts w:hint="default" w:ascii="Times New Roman" w:hAnsi="Times New Roman" w:cs="Times New Roman"/>
          <w:sz w:val="32"/>
          <w:szCs w:val="32"/>
        </w:rPr>
        <w:t>的快速扩散，不能仅仅</w:t>
      </w:r>
      <w:r>
        <w:rPr>
          <w:rFonts w:hint="default" w:ascii="Times New Roman" w:hAnsi="Times New Roman" w:cs="Times New Roman"/>
          <w:sz w:val="32"/>
          <w:szCs w:val="32"/>
          <w:lang w:eastAsia="zh-CN"/>
        </w:rPr>
        <w:t>在一个地方示范，应同时在多地不知示范点，</w:t>
      </w:r>
      <w:r>
        <w:rPr>
          <w:rFonts w:hint="default" w:ascii="Times New Roman" w:hAnsi="Times New Roman" w:cs="Times New Roman"/>
          <w:sz w:val="32"/>
          <w:szCs w:val="32"/>
        </w:rPr>
        <w:t>注重示范点的面积规模。</w:t>
      </w:r>
    </w:p>
    <w:p>
      <w:pPr>
        <w:pStyle w:val="10"/>
        <w:spacing w:line="560" w:lineRule="exact"/>
        <w:ind w:firstLine="31680"/>
        <w:rPr>
          <w:rFonts w:hint="default" w:ascii="Times New Roman" w:hAnsi="Times New Roman" w:eastAsia="宋体" w:cs="Times New Roman"/>
          <w:szCs w:val="32"/>
        </w:rPr>
      </w:pPr>
      <w:r>
        <w:rPr>
          <w:rFonts w:hint="default" w:ascii="Times New Roman" w:hAnsi="Times New Roman" w:eastAsia="宋体" w:cs="Times New Roman"/>
          <w:szCs w:val="32"/>
        </w:rPr>
        <w:t>（二）科研单位、种企和大户的合作模式</w:t>
      </w:r>
    </w:p>
    <w:p>
      <w:pPr>
        <w:pStyle w:val="10"/>
        <w:spacing w:line="560" w:lineRule="exact"/>
        <w:ind w:firstLine="31680"/>
        <w:rPr>
          <w:rFonts w:hint="default" w:ascii="Times New Roman" w:hAnsi="Times New Roman" w:eastAsia="宋体" w:cs="Times New Roman"/>
          <w:szCs w:val="32"/>
        </w:rPr>
      </w:pPr>
      <w:r>
        <w:rPr>
          <w:rFonts w:hint="default" w:ascii="Times New Roman" w:hAnsi="Times New Roman" w:eastAsia="宋体" w:cs="Times New Roman"/>
          <w:szCs w:val="32"/>
        </w:rPr>
        <w:t>新形势下，科研单位没有了种子企业，新品种的示范推广离不开种子经销企业；种植大户（家庭农场、合作社）的规模经营，也成为新品种示范的良好的平台。所以，以项目为纽带，科研单位为技术支撑，种植大户为示范展示平台，种子经销企业和农业推广部门为传播网络的新品种示范推广新模式，值得今后进一步探讨。</w:t>
      </w:r>
    </w:p>
    <w:p>
      <w:pPr>
        <w:spacing w:line="560" w:lineRule="exact"/>
        <w:ind w:firstLine="640" w:firstLineChars="200"/>
        <w:rPr>
          <w:rFonts w:hint="default" w:ascii="Times New Roman" w:hAnsi="Times New Roman" w:cs="Times New Roman"/>
          <w:sz w:val="32"/>
          <w:szCs w:val="32"/>
        </w:rPr>
      </w:pPr>
    </w:p>
    <w:sectPr>
      <w:pgSz w:w="11906" w:h="16838"/>
      <w:pgMar w:top="1440" w:right="1361"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802B2F"/>
    <w:multiLevelType w:val="singleLevel"/>
    <w:tmpl w:val="BF802B2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652"/>
    <w:rsid w:val="00002EDB"/>
    <w:rsid w:val="000110C6"/>
    <w:rsid w:val="0002262D"/>
    <w:rsid w:val="00035E5C"/>
    <w:rsid w:val="000416D8"/>
    <w:rsid w:val="0005572E"/>
    <w:rsid w:val="0006237F"/>
    <w:rsid w:val="000944BE"/>
    <w:rsid w:val="000E5E26"/>
    <w:rsid w:val="001538B2"/>
    <w:rsid w:val="00167622"/>
    <w:rsid w:val="00185B9B"/>
    <w:rsid w:val="001E495C"/>
    <w:rsid w:val="002115F2"/>
    <w:rsid w:val="00245444"/>
    <w:rsid w:val="00271DC3"/>
    <w:rsid w:val="00275AD0"/>
    <w:rsid w:val="002865DE"/>
    <w:rsid w:val="002A20C5"/>
    <w:rsid w:val="002B7B00"/>
    <w:rsid w:val="00300DB8"/>
    <w:rsid w:val="003839B7"/>
    <w:rsid w:val="003B7B82"/>
    <w:rsid w:val="004B4605"/>
    <w:rsid w:val="004D6006"/>
    <w:rsid w:val="004F1741"/>
    <w:rsid w:val="00510F99"/>
    <w:rsid w:val="005B32AD"/>
    <w:rsid w:val="005D7A8D"/>
    <w:rsid w:val="005F0CA6"/>
    <w:rsid w:val="00601BA7"/>
    <w:rsid w:val="00603402"/>
    <w:rsid w:val="006A45AB"/>
    <w:rsid w:val="00703EDA"/>
    <w:rsid w:val="00723337"/>
    <w:rsid w:val="00743478"/>
    <w:rsid w:val="0081093B"/>
    <w:rsid w:val="008370F3"/>
    <w:rsid w:val="00865B8E"/>
    <w:rsid w:val="00893B96"/>
    <w:rsid w:val="008A41EE"/>
    <w:rsid w:val="008D4E55"/>
    <w:rsid w:val="0090217E"/>
    <w:rsid w:val="00905F43"/>
    <w:rsid w:val="00963C8D"/>
    <w:rsid w:val="009879AE"/>
    <w:rsid w:val="009C31A6"/>
    <w:rsid w:val="009F083C"/>
    <w:rsid w:val="00A62CC4"/>
    <w:rsid w:val="00A71F36"/>
    <w:rsid w:val="00A77CEB"/>
    <w:rsid w:val="00AB63E9"/>
    <w:rsid w:val="00AC6049"/>
    <w:rsid w:val="00B35A5A"/>
    <w:rsid w:val="00BA35F3"/>
    <w:rsid w:val="00BF1006"/>
    <w:rsid w:val="00C650ED"/>
    <w:rsid w:val="00C84FC4"/>
    <w:rsid w:val="00C97745"/>
    <w:rsid w:val="00CC1151"/>
    <w:rsid w:val="00CF3F97"/>
    <w:rsid w:val="00E153FC"/>
    <w:rsid w:val="00E338A9"/>
    <w:rsid w:val="00E36985"/>
    <w:rsid w:val="00E64652"/>
    <w:rsid w:val="00E849CD"/>
    <w:rsid w:val="00EC1A9D"/>
    <w:rsid w:val="00ED6FAF"/>
    <w:rsid w:val="00F05071"/>
    <w:rsid w:val="00F2635A"/>
    <w:rsid w:val="00F31021"/>
    <w:rsid w:val="00F71562"/>
    <w:rsid w:val="00FC7229"/>
    <w:rsid w:val="00FF5A59"/>
    <w:rsid w:val="08013722"/>
    <w:rsid w:val="09963D3D"/>
    <w:rsid w:val="0AEE583A"/>
    <w:rsid w:val="150018F9"/>
    <w:rsid w:val="1EB47335"/>
    <w:rsid w:val="1F57439C"/>
    <w:rsid w:val="30F60B56"/>
    <w:rsid w:val="34DC6F29"/>
    <w:rsid w:val="475B5D32"/>
    <w:rsid w:val="4D1C2BB7"/>
    <w:rsid w:val="527B34E3"/>
    <w:rsid w:val="5346486D"/>
    <w:rsid w:val="5B9563B5"/>
    <w:rsid w:val="5BC75CB2"/>
    <w:rsid w:val="6C052DA3"/>
    <w:rsid w:val="724700C4"/>
    <w:rsid w:val="72AC56EC"/>
    <w:rsid w:val="77674FF4"/>
    <w:rsid w:val="79EB6065"/>
    <w:rsid w:val="7C0070FD"/>
    <w:rsid w:val="7D7B7AD4"/>
    <w:rsid w:val="7E6B3167"/>
    <w:rsid w:val="7F32322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qFormat/>
    <w:uiPriority w:val="99"/>
    <w:pPr>
      <w:tabs>
        <w:tab w:val="center" w:pos="4153"/>
        <w:tab w:val="right" w:pos="8306"/>
      </w:tabs>
      <w:snapToGrid w:val="0"/>
      <w:jc w:val="left"/>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7">
    <w:name w:val="List Paragraph"/>
    <w:basedOn w:val="1"/>
    <w:qFormat/>
    <w:uiPriority w:val="99"/>
    <w:pPr>
      <w:ind w:firstLine="420" w:firstLineChars="200"/>
    </w:pPr>
  </w:style>
  <w:style w:type="character" w:customStyle="1" w:styleId="8">
    <w:name w:val="Header Char"/>
    <w:basedOn w:val="6"/>
    <w:link w:val="3"/>
    <w:semiHidden/>
    <w:qFormat/>
    <w:locked/>
    <w:uiPriority w:val="99"/>
    <w:rPr>
      <w:rFonts w:ascii="Times New Roman" w:hAnsi="Times New Roman" w:eastAsia="宋体" w:cs="Times New Roman"/>
      <w:sz w:val="18"/>
      <w:szCs w:val="18"/>
    </w:rPr>
  </w:style>
  <w:style w:type="character" w:customStyle="1" w:styleId="9">
    <w:name w:val="Footer Char"/>
    <w:basedOn w:val="6"/>
    <w:link w:val="2"/>
    <w:semiHidden/>
    <w:qFormat/>
    <w:locked/>
    <w:uiPriority w:val="99"/>
    <w:rPr>
      <w:rFonts w:ascii="Times New Roman" w:hAnsi="Times New Roman" w:eastAsia="宋体" w:cs="Times New Roman"/>
      <w:sz w:val="18"/>
      <w:szCs w:val="18"/>
    </w:rPr>
  </w:style>
  <w:style w:type="paragraph" w:customStyle="1" w:styleId="10">
    <w:name w:val="样式1"/>
    <w:basedOn w:val="1"/>
    <w:qFormat/>
    <w:uiPriority w:val="99"/>
    <w:pPr>
      <w:spacing w:line="520" w:lineRule="exact"/>
      <w:ind w:firstLine="200" w:firstLineChars="200"/>
    </w:pPr>
    <w:rPr>
      <w:rFonts w:ascii="仿宋_GB2312" w:eastAsia="仿宋_GB2312"/>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10</Pages>
  <Words>719</Words>
  <Characters>4103</Characters>
  <Lines>0</Lines>
  <Paragraphs>0</Paragraphs>
  <TotalTime>13</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2018-05-12T12:24:00Z</dcterms:created>
  <dc:creator>tzg</dc:creator>
  <cp:lastModifiedBy>Administrator</cp:lastModifiedBy>
  <cp:lastPrinted>2018-05-22T02:40:00Z</cp:lastPrinted>
  <dcterms:modified xsi:type="dcterms:W3CDTF">2019-08-26T09:12:18Z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