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_GBK" w:eastAsia="方正小标宋_GBK"/>
          <w:spacing w:val="-8"/>
          <w:sz w:val="52"/>
          <w:szCs w:val="52"/>
        </w:rPr>
      </w:pPr>
    </w:p>
    <w:p>
      <w:pPr>
        <w:jc w:val="center"/>
        <w:rPr>
          <w:rFonts w:ascii="方正小标宋_GBK" w:eastAsia="方正小标宋_GBK"/>
          <w:spacing w:val="-8"/>
          <w:sz w:val="52"/>
          <w:szCs w:val="52"/>
        </w:rPr>
      </w:pPr>
    </w:p>
    <w:p>
      <w:pPr>
        <w:jc w:val="center"/>
        <w:rPr>
          <w:rFonts w:ascii="方正小标宋_GBK" w:eastAsia="方正小标宋_GBK"/>
          <w:spacing w:val="-8"/>
          <w:sz w:val="52"/>
          <w:szCs w:val="52"/>
        </w:rPr>
      </w:pPr>
    </w:p>
    <w:p>
      <w:pPr>
        <w:jc w:val="center"/>
        <w:rPr>
          <w:rFonts w:ascii="方正小标宋_GBK" w:eastAsia="方正小标宋_GBK"/>
          <w:spacing w:val="-8"/>
          <w:sz w:val="52"/>
          <w:szCs w:val="52"/>
        </w:rPr>
      </w:pPr>
      <w:r>
        <w:rPr>
          <w:rFonts w:hint="eastAsia" w:ascii="方正小标宋_GBK" w:eastAsia="方正小标宋_GBK"/>
          <w:spacing w:val="-8"/>
          <w:sz w:val="52"/>
          <w:szCs w:val="52"/>
        </w:rPr>
        <w:t>邢台市部门工作活动</w:t>
      </w:r>
      <w:r>
        <w:rPr>
          <w:rFonts w:ascii="方正小标宋_GBK" w:eastAsia="方正小标宋_GBK"/>
          <w:spacing w:val="-8"/>
          <w:sz w:val="52"/>
          <w:szCs w:val="52"/>
        </w:rPr>
        <w:t>(</w:t>
      </w:r>
      <w:r>
        <w:rPr>
          <w:rFonts w:hint="eastAsia" w:ascii="方正小标宋_GBK" w:eastAsia="方正小标宋_GBK"/>
          <w:spacing w:val="-8"/>
          <w:sz w:val="52"/>
          <w:szCs w:val="52"/>
        </w:rPr>
        <w:t>项目</w:t>
      </w:r>
      <w:r>
        <w:rPr>
          <w:rFonts w:ascii="方正小标宋_GBK" w:eastAsia="方正小标宋_GBK"/>
          <w:spacing w:val="-8"/>
          <w:sz w:val="52"/>
          <w:szCs w:val="52"/>
        </w:rPr>
        <w:t>)</w:t>
      </w:r>
    </w:p>
    <w:p>
      <w:pPr>
        <w:jc w:val="center"/>
        <w:rPr>
          <w:rFonts w:ascii="方正小标宋_GBK" w:eastAsia="方正小标宋_GBK"/>
          <w:spacing w:val="-8"/>
          <w:sz w:val="52"/>
          <w:szCs w:val="52"/>
        </w:rPr>
      </w:pPr>
      <w:r>
        <w:rPr>
          <w:rFonts w:hint="eastAsia" w:ascii="方正小标宋_GBK" w:eastAsia="方正小标宋_GBK"/>
          <w:spacing w:val="-8"/>
          <w:sz w:val="52"/>
          <w:szCs w:val="52"/>
        </w:rPr>
        <w:t>绩效评价自评报告</w:t>
      </w:r>
    </w:p>
    <w:p>
      <w:pPr>
        <w:jc w:val="center"/>
        <w:rPr>
          <w:sz w:val="44"/>
          <w:szCs w:val="44"/>
        </w:rPr>
      </w:pPr>
      <w:r>
        <w:rPr>
          <w:rFonts w:hint="eastAsia"/>
          <w:sz w:val="44"/>
          <w:szCs w:val="44"/>
        </w:rPr>
        <w:t>（</w:t>
      </w:r>
      <w:r>
        <w:rPr>
          <w:sz w:val="44"/>
          <w:szCs w:val="44"/>
        </w:rPr>
        <w:t>201</w:t>
      </w:r>
      <w:r>
        <w:rPr>
          <w:rFonts w:hint="eastAsia"/>
          <w:sz w:val="44"/>
          <w:szCs w:val="44"/>
        </w:rPr>
        <w:t>8年度）</w:t>
      </w:r>
    </w:p>
    <w:p/>
    <w:p/>
    <w:p/>
    <w:p/>
    <w:p/>
    <w:p/>
    <w:p>
      <w:pPr>
        <w:rPr>
          <w:rFonts w:ascii="宋体" w:hAnsi="宋体"/>
          <w:sz w:val="32"/>
          <w:szCs w:val="32"/>
        </w:rPr>
      </w:pPr>
      <w:r>
        <w:rPr>
          <w:rFonts w:hint="eastAsia" w:ascii="宋体" w:hAnsi="宋体"/>
          <w:sz w:val="32"/>
          <w:szCs w:val="32"/>
        </w:rPr>
        <w:t>项目名称：邢台市东部棉区提质节本增效栽培技术集成创新与示范</w:t>
      </w:r>
    </w:p>
    <w:p>
      <w:pPr>
        <w:rPr>
          <w:rFonts w:ascii="宋体" w:hAnsi="宋体"/>
          <w:sz w:val="32"/>
          <w:szCs w:val="32"/>
        </w:rPr>
      </w:pPr>
      <w:r>
        <w:rPr>
          <w:rFonts w:hint="eastAsia" w:ascii="宋体" w:hAnsi="宋体"/>
          <w:sz w:val="32"/>
          <w:szCs w:val="32"/>
        </w:rPr>
        <w:t>项目承担单位：邢台市农业科学研究院（公章）</w:t>
      </w:r>
    </w:p>
    <w:p>
      <w:pPr>
        <w:rPr>
          <w:rFonts w:ascii="宋体"/>
          <w:sz w:val="32"/>
          <w:szCs w:val="32"/>
        </w:rPr>
      </w:pPr>
      <w:r>
        <w:rPr>
          <w:rFonts w:hint="eastAsia" w:ascii="宋体" w:hAnsi="宋体"/>
          <w:sz w:val="32"/>
          <w:szCs w:val="32"/>
        </w:rPr>
        <w:t>项目主管部门：邢台市财政局（公章）</w:t>
      </w:r>
    </w:p>
    <w:p>
      <w:pPr>
        <w:rPr>
          <w:rFonts w:ascii="宋体"/>
          <w:sz w:val="32"/>
          <w:szCs w:val="32"/>
        </w:rPr>
      </w:pPr>
      <w:r>
        <w:rPr>
          <w:rFonts w:hint="eastAsia" w:ascii="宋体" w:hAnsi="宋体"/>
          <w:sz w:val="32"/>
          <w:szCs w:val="32"/>
        </w:rPr>
        <w:t>组织方式：□财政部门</w:t>
      </w:r>
      <w:r>
        <w:rPr>
          <w:rFonts w:ascii="宋体" w:hAnsi="宋体"/>
          <w:sz w:val="32"/>
          <w:szCs w:val="32"/>
        </w:rPr>
        <w:t xml:space="preserve">   </w:t>
      </w:r>
      <w:r>
        <w:rPr>
          <w:rFonts w:hint="eastAsia" w:ascii="宋体" w:hAnsi="宋体"/>
          <w:sz w:val="32"/>
          <w:szCs w:val="32"/>
        </w:rPr>
        <w:t>□主管部门</w:t>
      </w:r>
      <w:r>
        <w:rPr>
          <w:rFonts w:ascii="宋体" w:hAnsi="宋体"/>
          <w:sz w:val="32"/>
          <w:szCs w:val="32"/>
        </w:rPr>
        <w:t xml:space="preserve">  </w:t>
      </w:r>
      <w:r>
        <w:rPr>
          <w:rFonts w:hint="eastAsia" w:ascii="宋体" w:hAnsi="宋体"/>
          <w:szCs w:val="21"/>
          <w:bdr w:val="single" w:color="auto" w:sz="4" w:space="0"/>
        </w:rPr>
        <w:t>√</w:t>
      </w:r>
      <w:r>
        <w:rPr>
          <w:rFonts w:hint="eastAsia" w:ascii="宋体" w:hAnsi="宋体"/>
          <w:sz w:val="32"/>
          <w:szCs w:val="32"/>
        </w:rPr>
        <w:t>实施单位</w:t>
      </w:r>
    </w:p>
    <w:p>
      <w:pPr>
        <w:rPr>
          <w:rFonts w:ascii="宋体"/>
          <w:sz w:val="32"/>
          <w:szCs w:val="32"/>
        </w:rPr>
      </w:pPr>
      <w:r>
        <w:rPr>
          <w:rFonts w:hint="eastAsia" w:ascii="宋体" w:hAnsi="宋体"/>
          <w:sz w:val="32"/>
          <w:szCs w:val="32"/>
        </w:rPr>
        <w:t>评价机构：□中介机构</w:t>
      </w:r>
      <w:r>
        <w:rPr>
          <w:rFonts w:ascii="宋体" w:hAnsi="宋体"/>
          <w:sz w:val="32"/>
          <w:szCs w:val="32"/>
        </w:rPr>
        <w:t xml:space="preserve">   </w:t>
      </w:r>
      <w:r>
        <w:rPr>
          <w:rFonts w:hint="eastAsia" w:ascii="宋体" w:hAnsi="宋体"/>
          <w:sz w:val="32"/>
          <w:szCs w:val="32"/>
        </w:rPr>
        <w:t>□专家组</w:t>
      </w:r>
      <w:r>
        <w:rPr>
          <w:rFonts w:ascii="宋体" w:hAnsi="宋体"/>
          <w:sz w:val="32"/>
          <w:szCs w:val="32"/>
        </w:rPr>
        <w:t xml:space="preserve">    </w:t>
      </w:r>
      <w:r>
        <w:rPr>
          <w:rFonts w:hint="eastAsia" w:ascii="宋体" w:hAnsi="宋体"/>
          <w:szCs w:val="21"/>
          <w:bdr w:val="single" w:color="auto" w:sz="4" w:space="0"/>
        </w:rPr>
        <w:t>√</w:t>
      </w:r>
      <w:r>
        <w:rPr>
          <w:rFonts w:hint="eastAsia" w:ascii="宋体" w:hAnsi="宋体"/>
          <w:sz w:val="32"/>
          <w:szCs w:val="32"/>
        </w:rPr>
        <w:t>项目单位评价组</w:t>
      </w:r>
    </w:p>
    <w:p>
      <w:pPr>
        <w:rPr>
          <w:rFonts w:ascii="宋体"/>
          <w:sz w:val="32"/>
          <w:szCs w:val="32"/>
        </w:rPr>
      </w:pPr>
      <w:r>
        <w:rPr>
          <w:rFonts w:hint="eastAsia" w:ascii="宋体" w:hAnsi="宋体"/>
          <w:sz w:val="32"/>
          <w:szCs w:val="32"/>
        </w:rPr>
        <w:t>评价类型：□预算申报前评价</w:t>
      </w:r>
      <w:r>
        <w:rPr>
          <w:rFonts w:ascii="宋体" w:hAnsi="宋体"/>
          <w:sz w:val="32"/>
          <w:szCs w:val="32"/>
        </w:rPr>
        <w:t xml:space="preserve"> </w:t>
      </w:r>
      <w:r>
        <w:rPr>
          <w:rFonts w:hint="eastAsia" w:ascii="宋体" w:hAnsi="宋体"/>
          <w:sz w:val="32"/>
          <w:szCs w:val="32"/>
        </w:rPr>
        <w:t>□实施过程评价</w:t>
      </w:r>
      <w:r>
        <w:rPr>
          <w:rFonts w:ascii="宋体" w:hAnsi="宋体"/>
          <w:sz w:val="32"/>
          <w:szCs w:val="32"/>
        </w:rPr>
        <w:t xml:space="preserve"> </w:t>
      </w:r>
      <w:r>
        <w:rPr>
          <w:rFonts w:hint="eastAsia" w:ascii="宋体" w:hAnsi="宋体"/>
          <w:szCs w:val="21"/>
          <w:bdr w:val="single" w:color="auto" w:sz="4" w:space="0"/>
        </w:rPr>
        <w:t>√</w:t>
      </w:r>
      <w:r>
        <w:rPr>
          <w:rFonts w:hint="eastAsia" w:ascii="宋体" w:hAnsi="宋体"/>
          <w:sz w:val="32"/>
          <w:szCs w:val="32"/>
        </w:rPr>
        <w:t>完成结果评价</w:t>
      </w:r>
    </w:p>
    <w:p>
      <w:pPr>
        <w:rPr>
          <w:rFonts w:ascii="宋体"/>
          <w:sz w:val="32"/>
          <w:szCs w:val="32"/>
        </w:rPr>
      </w:pPr>
    </w:p>
    <w:p>
      <w:pPr>
        <w:jc w:val="center"/>
        <w:rPr>
          <w:rFonts w:hint="default" w:ascii="Times New Roman" w:hAnsi="Times New Roman" w:cs="Times New Roman"/>
          <w:sz w:val="32"/>
          <w:szCs w:val="32"/>
        </w:rPr>
      </w:pPr>
      <w:r>
        <w:rPr>
          <w:rFonts w:hint="default" w:ascii="Times New Roman" w:hAnsi="Times New Roman" w:cs="Times New Roman"/>
          <w:sz w:val="32"/>
          <w:szCs w:val="32"/>
        </w:rPr>
        <w:t>2019 年8 月7日</w:t>
      </w:r>
    </w:p>
    <w:p>
      <w:pPr>
        <w:widowControl/>
        <w:jc w:val="left"/>
        <w:rPr>
          <w:rFonts w:hint="default" w:ascii="Times New Roman" w:hAnsi="Times New Roman" w:cs="Times New Roman"/>
          <w:sz w:val="32"/>
          <w:szCs w:val="32"/>
        </w:rPr>
      </w:pPr>
      <w:r>
        <w:rPr>
          <w:rFonts w:hint="default" w:ascii="Times New Roman" w:hAnsi="Times New Roman" w:cs="Times New Roman"/>
          <w:sz w:val="32"/>
          <w:szCs w:val="32"/>
        </w:rPr>
        <w:br w:type="page"/>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一、项目概况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（一）政府战略规划或目标。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棉花是我国重要经济作物，其形成的产业链容纳了超亿人就业。棉花生产的稳定和可持续发展，关乎国计民生。近些年来，随着植棉成本不断攀升和棉价的持续低迷，导致植棉面积急剧下降。《邢台市国民经济和社会发展第十三个五年规划纲要》中指出，进一步优化棉花产业区域布局，除威县、南宫为中心的冀南优质棉花基地保持适当的棉花生产规模外，2020年全市棉花种植面积调减到70万亩左右。通过发展棉纺织业，提高产品档次，形成区域性棉花产业集群。调整棉花品种品质结构，发展特色棉花种植。突出提高棉花质量，研究推广棉花简化栽培技术和全程机械化技术的适用农机，提高植棉效益。由此可见，面对新形势，我市采取了在优势植棉区保持适度规模，靠节本提质增效来稳定和保持我市的棉花生产。因此，该项目符合邢台市国民经济和社会发展第十三个五年规划纲要中对棉花生产的规划布局。</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（二）单位工作目标。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通过新技术、新产品的示范和推广，提高农业生产的效率和效益。</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（三）项目基本情况。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1.工作活动(项目)背景资料</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邢台市地处河北省核心棉区，常年植棉面积在250万亩。目前，据邢台市农科院科技人员多次到棉区调研时估算，邢台的植棉面积已锐减至100万亩左右，大量棉田已改种其它作物。邢台如此，全国其他棉区也遭遇了同样问题。植棉成本逐年攀升，而棉价却持续低迷，最终导致植棉效益急剧下降。在市场经济的今天，农民种棉不挣钱，植棉面积锐减就成了难以避免的事了。</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这一问题已引起各级主管部门的领导、棉花产业科技人员及广大棉农的焦虑，再不采取有效措施保护棉花生产，丢掉的棉区，将来恢复就难了。在此背景下，国家出台相关政策，以保护和稳定宜棉地区的棉花生产。</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2.项目的可行性、必要性、有效性及其论证过程</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棉花是典型的的节水型耐盐碱、耐瘠薄作物，十分适宜在我市东部的盐碱旱薄地种植。本项目在我市东部最大的产棉县威县建示范基地1个，通过集成、创新、示范以</w:t>
      </w:r>
      <w:r>
        <w:rPr>
          <w:rFonts w:hint="default" w:ascii="Times New Roman" w:hAnsi="Times New Roman" w:eastAsia="仿宋" w:cs="Times New Roman"/>
          <w:color w:val="000000"/>
          <w:kern w:val="0"/>
          <w:sz w:val="28"/>
          <w:szCs w:val="28"/>
        </w:rPr>
        <w:t xml:space="preserve"> </w:t>
      </w:r>
      <w:r>
        <w:rPr>
          <w:rFonts w:hint="default" w:ascii="Times New Roman" w:hAnsi="Times New Roman" w:cs="Times New Roman"/>
          <w:sz w:val="32"/>
          <w:szCs w:val="32"/>
        </w:rPr>
        <w:t>“前重式”管理加“晚、密、简”为核心技术的田间管理模式，省去打营养枝、生育期间追肥等管理环节，达到简化劳动环节、最佳生态条件下集中成铃为核心内容示范效果，以解决传统栽培技术存在的生产成本高、烂铃早衰重棉花品质差、植棉效益低等问题。该技术比常规栽培技术增产</w:t>
      </w:r>
      <w:r>
        <w:rPr>
          <w:rFonts w:hint="eastAsia" w:cs="Times New Roman"/>
          <w:sz w:val="32"/>
          <w:szCs w:val="32"/>
          <w:lang w:val="en-US" w:eastAsia="zh-CN"/>
        </w:rPr>
        <w:t>8</w:t>
      </w:r>
      <w:r>
        <w:rPr>
          <w:rFonts w:hint="default" w:ascii="Times New Roman" w:hAnsi="Times New Roman" w:cs="Times New Roman"/>
          <w:sz w:val="32"/>
          <w:szCs w:val="32"/>
        </w:rPr>
        <w:t>％～</w:t>
      </w:r>
      <w:r>
        <w:rPr>
          <w:rFonts w:hint="eastAsia" w:cs="Times New Roman"/>
          <w:sz w:val="32"/>
          <w:szCs w:val="32"/>
          <w:lang w:val="en-US" w:eastAsia="zh-CN"/>
        </w:rPr>
        <w:t>10</w:t>
      </w:r>
      <w:r>
        <w:rPr>
          <w:rFonts w:hint="default" w:ascii="Times New Roman" w:hAnsi="Times New Roman" w:cs="Times New Roman"/>
          <w:sz w:val="32"/>
          <w:szCs w:val="32"/>
        </w:rPr>
        <w:t>％，每亩可节省整枝用工</w:t>
      </w:r>
      <w:r>
        <w:rPr>
          <w:rFonts w:hint="eastAsia" w:cs="Times New Roman"/>
          <w:sz w:val="32"/>
          <w:szCs w:val="32"/>
          <w:lang w:val="en-US" w:eastAsia="zh-CN"/>
        </w:rPr>
        <w:t>2</w:t>
      </w:r>
      <w:bookmarkStart w:id="0" w:name="_GoBack"/>
      <w:bookmarkEnd w:id="0"/>
      <w:r>
        <w:rPr>
          <w:rFonts w:hint="default" w:ascii="Times New Roman" w:hAnsi="Times New Roman" w:cs="Times New Roman"/>
          <w:sz w:val="32"/>
          <w:szCs w:val="32"/>
        </w:rPr>
        <w:t>个左右，通过改善棉花烂铃、早衰问题，可有效提高棉花品质，亩提质节本增效达190-263元。通过项目的带动，可有效地提高宜棉区棉农植棉积极性，对恢复我市棉花生产，带动棉产整个产业链条的可持续发展意义重大，符合邢台市国民经济和社会发展第十三个五年规划纲要中对棉花生产的规划布局。</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二、项目绩效目标和指标设定情况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（一）项目总目标、年度目标设定情况。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本项目总目标为通过棉花节本提质增效栽培技术集成示范基地建设和宣传，加快植棉新技术应用步伐，实现核心和辐射示范区靠节本提质增效来稳定和保持我市的棉花生产。设立的年度目标如下：</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安排核心示范区20亩，亩节本提质增效263元；辐射示范区1000亩，亩节本提质增效190元。</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（二）项目绩效指标设定情况。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1、产出指标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（1）数量指标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建立核心示范区20亩，辐射示范区1000亩。</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（2）质量指标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核心示范区为单一地块，辐射示范区成方连片。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（3）成本指标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在保证项目如期完成的同时，尽量节约项目投入。</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2、效果指标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（1）示范基地创建考核通过率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在我市东部棉区建棉花提质节本增效栽培技术示范基地1个。</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（2）经济效益指标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核心示范区亩提质节本增效263元，辐射示范区亩提质节本增效190元。</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（3）社会效益指标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提高植棉收益，稳定我市棉花产业发展。</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（4）环境效益指标</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植棉面积提高有利于改善我市水生态环境。</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三、项目实施绩效管理情况及取得成绩</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（一）计划制定和落实情况。</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1、计划的制定和进度落实</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3月份，到示范基地了解基本情况，划定示范地块区域，做好技术资料印刷和培训准备工作；4-5月份，进行播前技术培训、技术资料发放，示范基地播种和苗期管理工作；6-8月份，进行示范基地中期技术措施落实、田间技术指导和技术咨询工作；9-10月份，进行示范基地田间测产、收获等工作；11-12月份，做好示范工作的总结。实施过程中，严格执行上述计划，一环扣一环，保证了项目如期完成（执行过程中部分工作照附后）。</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2、采取的主要措施</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以邢台市农科院为技术支撑，联合示范区种植专业合作社、村委成员、种植大户构成技术示范共同体，立足于提质节本增效示范基地建设，通过田间技术培训观摩、示范带动进行技术传播，实现该技术的较大面积示范推广。重点采取了如下措施：</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（1）事前扎实调研摸底，选好示范基地</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2-3月，项目组深入威县核心棉区调研、考察，选定在东张庄设核心示范区，向周边辐射示范该技术。示范区涉及的合作社、村委成员及棉农高度重视，积极配合项目组开展工作，使项目的实施得顺利进行。</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（2）科学规划，方便示范观摩</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示范区均位于公路边侧，交通便利，基本做到了成方连片，为技术措施的落实和示范观摩提供了便利。</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（3）抓住关键，落实好各项技术措施。</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播种前，核心示范区通过省棉所调入高质量石棉126棉种，辐射示范区则通过田间地头的技术培训、技术咨询向技术骨干和示范户代表推荐使用石棉126、国欣棉31、鲁棉研37等优种，发放示范技术实施方案，保证了示范用种优种化及棉农对示范技术的整体了解。播种期、苗蕾期、花铃期项目组成员及时赶赴示范区的田间地头进行技术指导，保证示范的各项关键技术的正确实施。</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3、项目实施效果</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（1）示范地点和规模的落实情况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核心示范区设在威县裕丰农作物种植专业合作社，地点位于威县东张庄村，计划面积20亩，实际落实30亩。辐射示范区计划面积1000亩，设在以东张庄村为核心的附近村，实际落实1120亩，基本成方连片，具体分布情况如下：东张庄村320亩，沙柳寨村800亩。</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（2）示范效果</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本棉花生长季气候特点是气温明显高于常年，进入花铃期后，前后遇两次连阴雨天气，整体对棉花高产不利。因技术指导和棉农管理到位，仍获得理想示范效果。据核心示范区取样实收计产，亩产籽棉277kg，较常规技术对照田增产10.4%。</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（3）技术培训和资料发放</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播种前，在田间组织示范基地棉农代表进行技术培训，受训人数50余人，加上关键生育期田间技术指导，共发放技术资料300多份。</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（4）取得的经济效益、社会效益和环境效益</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核心示范区面积落实30亩，实收计产亩产籽棉277kg，较常规技术对照田增产10.4%，全为优质棉（石抗126，品质指标：HVICC纤维上半部平均长度31.0毫米，断裂比强度31.0厘牛/特克斯，马克隆值4.3，断裂伸长率6.7%，反射率74.7%，黄色深度8.1，整齐度指数84.5%，纺纱均匀性指数151）。其售价较常规品种高0.2元，售价为7元/kg，亩增收籽棉26kg,折亩增收182元；该技术较常规技术亩少用工2个，按50元/工计，亩节支100元，两项合计亩节支增收282元。辐射示范区落实1120亩，示范效果按核心示范区的70%计，亩节支增收为197.2元。</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该技术节支增收效果明显，可显著提高棉农收益，对稳定我市棉花生产意义重大。棉花为抗旱作物，棉花生育的用水量约为小麦+玉米种植模式的1/5-1/4，是典型的节水型作物，多植棉对抑制地下水超采，保护水资源，改善我市水生态环境十分有益。</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（二）执行绩效监控情况</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1、健全组织机构,加强对项目的管理</w:t>
      </w:r>
    </w:p>
    <w:p>
      <w:pPr>
        <w:spacing w:line="560" w:lineRule="exact"/>
        <w:ind w:firstLine="640"/>
        <w:rPr>
          <w:rFonts w:hint="default" w:ascii="Times New Roman" w:hAnsi="Times New Roman" w:cs="Times New Roman"/>
          <w:sz w:val="32"/>
          <w:szCs w:val="32"/>
        </w:rPr>
      </w:pPr>
      <w:r>
        <w:rPr>
          <w:rFonts w:hint="default" w:ascii="Times New Roman" w:hAnsi="Times New Roman" w:cs="Times New Roman"/>
          <w:sz w:val="32"/>
          <w:szCs w:val="32"/>
        </w:rPr>
        <w:t>为确保项目如期顺利实施，我们成立了以主管院长和科管处成员组成的项目领导小组,依照相关规定和项目计划目标对项目的实施进行监管协调,棉花室组建项目实施小组,具体负责项目的实施方案制定、示范地点落实、配套栽培技术的实施、技术指导、技术咨询和培训等工作，为项目的顺利实施提供了组织保障。</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2、棉花生育关键期深入基地进行检查和督导</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在播种期、苗蕾期、花铃期等棉花生育的关键期深入基地，对示范点的地块落实、苗情、化控、水肥等田间管理等情况进行检查和督促，以保证各项技术措施的准确实施。</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3、收获期间对示范田进行取样实收测产</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收获期间项目组对示范田选定取样区，进行了实收测产，以评价示范效果。</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（三）资金管理情况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该项目总投资10万元，全部为财政资金，项目资金足额、及时到位，投资计划完成情况如下：</w:t>
      </w:r>
    </w:p>
    <w:p>
      <w:pPr>
        <w:pStyle w:val="11"/>
        <w:spacing w:line="560" w:lineRule="exact"/>
        <w:ind w:left="640" w:firstLine="0" w:firstLineChars="0"/>
        <w:rPr>
          <w:rFonts w:hint="default" w:ascii="Times New Roman" w:hAnsi="Times New Roman" w:cs="Times New Roman"/>
          <w:sz w:val="32"/>
          <w:szCs w:val="32"/>
        </w:rPr>
      </w:pPr>
      <w:r>
        <w:rPr>
          <w:rFonts w:hint="default" w:ascii="Times New Roman" w:hAnsi="Times New Roman" w:cs="Times New Roman"/>
          <w:sz w:val="32"/>
          <w:szCs w:val="32"/>
        </w:rPr>
        <w:t>1、专用设备购置</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计划支出0.6万元，实际支出0.6万元。</w:t>
      </w:r>
    </w:p>
    <w:p>
      <w:pPr>
        <w:pStyle w:val="11"/>
        <w:spacing w:line="560" w:lineRule="exact"/>
        <w:ind w:left="640" w:firstLine="0" w:firstLineChars="0"/>
        <w:rPr>
          <w:rFonts w:hint="default" w:ascii="Times New Roman" w:hAnsi="Times New Roman" w:cs="Times New Roman"/>
          <w:sz w:val="32"/>
          <w:szCs w:val="32"/>
        </w:rPr>
      </w:pPr>
      <w:r>
        <w:rPr>
          <w:rFonts w:hint="default" w:ascii="Times New Roman" w:hAnsi="Times New Roman" w:cs="Times New Roman"/>
          <w:sz w:val="32"/>
          <w:szCs w:val="32"/>
        </w:rPr>
        <w:t>2、专用材料费</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计划支出1.1万元，实际支出0.5145万元。</w:t>
      </w:r>
    </w:p>
    <w:p>
      <w:pPr>
        <w:pStyle w:val="11"/>
        <w:tabs>
          <w:tab w:val="left" w:pos="705"/>
        </w:tabs>
        <w:ind w:left="640" w:firstLine="0" w:firstLineChars="0"/>
        <w:rPr>
          <w:rFonts w:hint="default" w:ascii="Times New Roman" w:hAnsi="Times New Roman" w:cs="Times New Roman"/>
          <w:sz w:val="32"/>
          <w:szCs w:val="32"/>
        </w:rPr>
      </w:pPr>
      <w:r>
        <w:rPr>
          <w:rFonts w:hint="default" w:ascii="Times New Roman" w:hAnsi="Times New Roman" w:cs="Times New Roman"/>
          <w:sz w:val="32"/>
          <w:szCs w:val="32"/>
        </w:rPr>
        <w:t>3、专用燃料费</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计划支出2万元，实际支出2万元。</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4、差旅费</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计划支出1.2万元，实际支出1.37995万元。</w:t>
      </w:r>
    </w:p>
    <w:p>
      <w:pPr>
        <w:pStyle w:val="11"/>
        <w:tabs>
          <w:tab w:val="left" w:pos="705"/>
        </w:tabs>
        <w:ind w:left="640" w:firstLine="0" w:firstLineChars="0"/>
        <w:rPr>
          <w:rFonts w:hint="default" w:ascii="Times New Roman" w:hAnsi="Times New Roman" w:cs="Times New Roman"/>
          <w:sz w:val="32"/>
          <w:szCs w:val="32"/>
        </w:rPr>
      </w:pPr>
      <w:r>
        <w:rPr>
          <w:rFonts w:hint="default" w:ascii="Times New Roman" w:hAnsi="Times New Roman" w:cs="Times New Roman"/>
          <w:sz w:val="32"/>
          <w:szCs w:val="32"/>
        </w:rPr>
        <w:t>5、咨询费</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计划支出0.3万元，实际支出0万元。</w:t>
      </w:r>
    </w:p>
    <w:p>
      <w:pPr>
        <w:pStyle w:val="11"/>
        <w:spacing w:line="560" w:lineRule="exact"/>
        <w:ind w:left="640" w:firstLine="0" w:firstLineChars="0"/>
        <w:rPr>
          <w:rFonts w:hint="default" w:ascii="Times New Roman" w:hAnsi="Times New Roman" w:cs="Times New Roman"/>
          <w:sz w:val="32"/>
          <w:szCs w:val="32"/>
        </w:rPr>
      </w:pPr>
      <w:r>
        <w:rPr>
          <w:rFonts w:hint="default" w:ascii="Times New Roman" w:hAnsi="Times New Roman" w:cs="Times New Roman"/>
          <w:sz w:val="32"/>
          <w:szCs w:val="32"/>
        </w:rPr>
        <w:t>6、劳务费</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计划支出4.6万元，实际支出4.677651万元。</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7、其它</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计划支出0.2万元，实际支出0.827899万元。</w:t>
      </w:r>
    </w:p>
    <w:p>
      <w:pPr>
        <w:spacing w:line="560" w:lineRule="exact"/>
        <w:ind w:left="640"/>
        <w:rPr>
          <w:rFonts w:hint="default" w:ascii="Times New Roman" w:hAnsi="Times New Roman" w:cs="Times New Roman"/>
          <w:sz w:val="32"/>
          <w:szCs w:val="32"/>
        </w:rPr>
      </w:pPr>
      <w:r>
        <w:rPr>
          <w:rFonts w:hint="default" w:ascii="Times New Roman" w:hAnsi="Times New Roman" w:cs="Times New Roman"/>
          <w:sz w:val="32"/>
          <w:szCs w:val="32"/>
        </w:rPr>
        <w:t>总计支出10万元。</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（四）绩效管理制度建设及执行情况。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该项目的绩效目标纳入单位内部的绩效目标进行管理，每季度进行小结上报，领导小组根据实施进度和效果进行调度、督促，保证了项目如期顺利实施。</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（五）风险管理情况。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本项目存在风雨、冰雹自然灾害等不可抗力因素导致技术示范受影响的风险因素，处置方法主要包括灾前预警及灾后立即勘灾并提出灾后补救栽培技术措施等。本年该项目无严重风险发生。</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四、项目绩效自评情况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（一）项目自评组织情况。</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邀请院学术委员会有关专家，按照规定标准对该项目的绩效进行了结果自评。</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（二）项目评价结果。</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工作活动设置14分，“工作活动”管理22分，“工作活动”产出24分，“工作活动”效果35分，绩效评价总得分95分。</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五、项目存在的问题、改进工作的意见及建议</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（一）示范规模与示范点布局</w:t>
      </w:r>
    </w:p>
    <w:p>
      <w:pPr>
        <w:spacing w:line="560" w:lineRule="exact"/>
        <w:ind w:firstLine="640" w:firstLineChars="200"/>
        <w:rPr>
          <w:rFonts w:hint="default" w:ascii="Times New Roman" w:hAnsi="Times New Roman" w:cs="Times New Roman"/>
          <w:sz w:val="32"/>
          <w:szCs w:val="32"/>
        </w:rPr>
      </w:pPr>
      <w:r>
        <w:rPr>
          <w:rFonts w:hint="default" w:ascii="Times New Roman" w:hAnsi="Times New Roman" w:cs="Times New Roman"/>
          <w:sz w:val="32"/>
          <w:szCs w:val="32"/>
        </w:rPr>
        <w:t>在目前棉花生产形势下，为了促进棉花新技术示范推广项目实施效果，在重视示范规模的带动效应的同时，更要考虑将示范点设在种植专业合作社、家庭农场等大规模经营主体上，这样有利于示范技术的准确、按时实施，以小农户为主体的示范区工作难度相对较大。这是今后要注意的地方。</w:t>
      </w:r>
    </w:p>
    <w:p>
      <w:pPr>
        <w:pStyle w:val="8"/>
        <w:spacing w:line="560" w:lineRule="exact"/>
        <w:ind w:firstLine="640"/>
        <w:rPr>
          <w:rFonts w:hint="default" w:ascii="Times New Roman" w:hAnsi="Times New Roman" w:eastAsia="宋体" w:cs="Times New Roman"/>
          <w:szCs w:val="32"/>
        </w:rPr>
      </w:pPr>
      <w:r>
        <w:rPr>
          <w:rFonts w:hint="default" w:ascii="Times New Roman" w:hAnsi="Times New Roman" w:eastAsia="宋体" w:cs="Times New Roman"/>
          <w:szCs w:val="32"/>
        </w:rPr>
        <w:t>（二）进一步探索项目带动，科研单位加种植大户合作推广新技术模式</w:t>
      </w:r>
    </w:p>
    <w:p>
      <w:pPr>
        <w:pStyle w:val="8"/>
        <w:spacing w:line="560" w:lineRule="exact"/>
        <w:ind w:firstLine="640"/>
        <w:rPr>
          <w:rFonts w:hint="default" w:ascii="Times New Roman" w:hAnsi="Times New Roman" w:eastAsia="宋体" w:cs="Times New Roman"/>
          <w:szCs w:val="32"/>
        </w:rPr>
      </w:pPr>
      <w:r>
        <w:rPr>
          <w:rFonts w:hint="default" w:ascii="Times New Roman" w:hAnsi="Times New Roman" w:eastAsia="宋体" w:cs="Times New Roman"/>
          <w:szCs w:val="32"/>
        </w:rPr>
        <w:t>在农业劳动力日益减少和植棉效益持续低迷的形势下，以项目为纽带，科研单位为技术支撑，种植大户为示范展示平台，种子经销企业和农业推广部门为传播网络的节本提质增效新技术示范推广模式，需下一步深入探索。</w:t>
      </w:r>
    </w:p>
    <w:p>
      <w:pPr>
        <w:pStyle w:val="8"/>
        <w:spacing w:line="560" w:lineRule="exact"/>
        <w:ind w:firstLine="640"/>
        <w:rPr>
          <w:rFonts w:hint="default" w:ascii="Times New Roman" w:hAnsi="Times New Roman" w:eastAsia="宋体" w:cs="Times New Roman"/>
          <w:szCs w:val="32"/>
        </w:rPr>
      </w:pPr>
      <w:r>
        <w:rPr>
          <w:rFonts w:hint="default" w:ascii="Times New Roman" w:hAnsi="Times New Roman" w:eastAsia="宋体" w:cs="Times New Roman"/>
          <w:szCs w:val="32"/>
        </w:rPr>
        <w:t>六、示范过程中部分工作照</w:t>
      </w: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r>
        <w:rPr>
          <w:rFonts w:ascii="仿宋" w:hAnsi="仿宋" w:eastAsia="仿宋"/>
          <w:sz w:val="28"/>
          <w:szCs w:val="28"/>
        </w:rPr>
        <w:t>播前在田间对棉农进行技术培训</w:t>
      </w:r>
    </w:p>
    <w:p>
      <w:pPr>
        <w:jc w:val="left"/>
        <w:rPr>
          <w:rFonts w:ascii="仿宋" w:hAnsi="仿宋" w:eastAsia="仿宋"/>
          <w:sz w:val="28"/>
          <w:szCs w:val="28"/>
        </w:rPr>
      </w:pPr>
      <w:r>
        <w:rPr>
          <w:rFonts w:ascii="仿宋" w:hAnsi="仿宋" w:eastAsia="仿宋"/>
          <w:color w:val="000000"/>
          <w:kern w:val="0"/>
          <w:sz w:val="28"/>
          <w:szCs w:val="28"/>
        </w:rPr>
        <w:drawing>
          <wp:inline distT="0" distB="0" distL="0" distR="0">
            <wp:extent cx="5276850" cy="2971800"/>
            <wp:effectExtent l="19050" t="0" r="0" b="0"/>
            <wp:docPr id="1" name="图片 1" descr="IMG_20180504_15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180504_151014"/>
                    <pic:cNvPicPr>
                      <a:picLocks noChangeAspect="1" noChangeArrowheads="1"/>
                    </pic:cNvPicPr>
                  </pic:nvPicPr>
                  <pic:blipFill>
                    <a:blip r:embed="rId4" cstate="print"/>
                    <a:srcRect/>
                    <a:stretch>
                      <a:fillRect/>
                    </a:stretch>
                  </pic:blipFill>
                  <pic:spPr>
                    <a:xfrm>
                      <a:off x="0" y="0"/>
                      <a:ext cx="5276850" cy="2971800"/>
                    </a:xfrm>
                    <a:prstGeom prst="rect">
                      <a:avLst/>
                    </a:prstGeom>
                    <a:noFill/>
                    <a:ln w="9525">
                      <a:noFill/>
                      <a:miter lim="800000"/>
                      <a:headEnd/>
                      <a:tailEnd/>
                    </a:ln>
                  </pic:spPr>
                </pic:pic>
              </a:graphicData>
            </a:graphic>
          </wp:inline>
        </w:drawing>
      </w:r>
    </w:p>
    <w:p>
      <w:pPr>
        <w:rPr>
          <w:rFonts w:ascii="仿宋" w:hAnsi="仿宋" w:eastAsia="仿宋"/>
          <w:sz w:val="28"/>
          <w:szCs w:val="28"/>
        </w:rPr>
      </w:pPr>
    </w:p>
    <w:p>
      <w:pPr>
        <w:rPr>
          <w:rFonts w:ascii="仿宋" w:hAnsi="仿宋" w:eastAsia="仿宋"/>
          <w:sz w:val="28"/>
          <w:szCs w:val="28"/>
        </w:rPr>
      </w:pPr>
      <w:r>
        <w:rPr>
          <w:rFonts w:hint="eastAsia" w:ascii="仿宋" w:hAnsi="仿宋" w:eastAsia="仿宋"/>
          <w:sz w:val="28"/>
          <w:szCs w:val="28"/>
        </w:rPr>
        <w:drawing>
          <wp:inline distT="0" distB="0" distL="0" distR="0">
            <wp:extent cx="5276850" cy="2971800"/>
            <wp:effectExtent l="19050" t="0" r="0" b="0"/>
            <wp:docPr id="2" name="图片 2" descr="IMG_20180504_15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180504_151132"/>
                    <pic:cNvPicPr>
                      <a:picLocks noChangeAspect="1" noChangeArrowheads="1"/>
                    </pic:cNvPicPr>
                  </pic:nvPicPr>
                  <pic:blipFill>
                    <a:blip r:embed="rId5" cstate="print"/>
                    <a:srcRect/>
                    <a:stretch>
                      <a:fillRect/>
                    </a:stretch>
                  </pic:blipFill>
                  <pic:spPr>
                    <a:xfrm>
                      <a:off x="0" y="0"/>
                      <a:ext cx="5276850" cy="2971800"/>
                    </a:xfrm>
                    <a:prstGeom prst="rect">
                      <a:avLst/>
                    </a:prstGeom>
                    <a:noFill/>
                    <a:ln w="9525">
                      <a:noFill/>
                      <a:miter lim="800000"/>
                      <a:headEnd/>
                      <a:tailEnd/>
                    </a:ln>
                  </pic:spPr>
                </pic:pic>
              </a:graphicData>
            </a:graphic>
          </wp:inline>
        </w:drawing>
      </w: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p>
    <w:p>
      <w:pPr>
        <w:rPr>
          <w:rFonts w:ascii="仿宋" w:hAnsi="仿宋" w:eastAsia="仿宋"/>
          <w:sz w:val="28"/>
          <w:szCs w:val="28"/>
        </w:rPr>
      </w:pPr>
      <w:r>
        <w:rPr>
          <w:rFonts w:hint="eastAsia" w:ascii="仿宋" w:hAnsi="仿宋" w:eastAsia="仿宋"/>
          <w:sz w:val="28"/>
          <w:szCs w:val="28"/>
        </w:rPr>
        <w:t>查苗情，指导田间管理</w:t>
      </w:r>
    </w:p>
    <w:p>
      <w:pPr>
        <w:rPr>
          <w:rFonts w:ascii="宋体" w:hAnsi="宋体" w:cs="宋体"/>
          <w:color w:val="000000"/>
          <w:sz w:val="24"/>
        </w:rPr>
      </w:pPr>
      <w:r>
        <w:rPr>
          <w:rFonts w:hint="eastAsia" w:ascii="宋体" w:hAnsi="宋体" w:cs="宋体"/>
          <w:color w:val="000000"/>
          <w:sz w:val="24"/>
        </w:rPr>
        <w:drawing>
          <wp:inline distT="0" distB="0" distL="0" distR="0">
            <wp:extent cx="6115050" cy="4591050"/>
            <wp:effectExtent l="19050" t="0" r="0" b="0"/>
            <wp:docPr id="3" name="图片 3" descr="微信图片_2018052410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180524102645"/>
                    <pic:cNvPicPr>
                      <a:picLocks noChangeAspect="1" noChangeArrowheads="1"/>
                    </pic:cNvPicPr>
                  </pic:nvPicPr>
                  <pic:blipFill>
                    <a:blip r:embed="rId6" cstate="print"/>
                    <a:srcRect/>
                    <a:stretch>
                      <a:fillRect/>
                    </a:stretch>
                  </pic:blipFill>
                  <pic:spPr>
                    <a:xfrm>
                      <a:off x="0" y="0"/>
                      <a:ext cx="6115050" cy="4591050"/>
                    </a:xfrm>
                    <a:prstGeom prst="rect">
                      <a:avLst/>
                    </a:prstGeom>
                    <a:noFill/>
                    <a:ln w="9525">
                      <a:noFill/>
                      <a:miter lim="800000"/>
                      <a:headEnd/>
                      <a:tailEnd/>
                    </a:ln>
                  </pic:spPr>
                </pic:pic>
              </a:graphicData>
            </a:graphic>
          </wp:inline>
        </w:drawing>
      </w:r>
    </w:p>
    <w:p>
      <w:r>
        <w:rPr>
          <w:rFonts w:hint="eastAsia" w:ascii="宋体" w:hAnsi="宋体" w:cs="宋体"/>
          <w:color w:val="000000"/>
          <w:sz w:val="24"/>
        </w:rPr>
        <w:drawing>
          <wp:inline distT="0" distB="0" distL="0" distR="0">
            <wp:extent cx="6115050" cy="3448050"/>
            <wp:effectExtent l="19050" t="0" r="0" b="0"/>
            <wp:docPr id="4" name="图片 4" descr="微信图片_2018052410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180524102533"/>
                    <pic:cNvPicPr>
                      <a:picLocks noChangeAspect="1" noChangeArrowheads="1"/>
                    </pic:cNvPicPr>
                  </pic:nvPicPr>
                  <pic:blipFill>
                    <a:blip r:embed="rId7" cstate="print"/>
                    <a:srcRect/>
                    <a:stretch>
                      <a:fillRect/>
                    </a:stretch>
                  </pic:blipFill>
                  <pic:spPr>
                    <a:xfrm>
                      <a:off x="0" y="0"/>
                      <a:ext cx="6115050" cy="3448050"/>
                    </a:xfrm>
                    <a:prstGeom prst="rect">
                      <a:avLst/>
                    </a:prstGeom>
                    <a:noFill/>
                    <a:ln w="9525">
                      <a:noFill/>
                      <a:miter lim="800000"/>
                      <a:headEnd/>
                      <a:tailEnd/>
                    </a:ln>
                  </pic:spPr>
                </pic:pic>
              </a:graphicData>
            </a:graphic>
          </wp:inline>
        </w:drawing>
      </w:r>
    </w:p>
    <w:p/>
    <w:p/>
    <w:p>
      <w:r>
        <w:rPr>
          <w:rFonts w:hint="eastAsia"/>
        </w:rPr>
        <w:drawing>
          <wp:inline distT="0" distB="0" distL="0" distR="0">
            <wp:extent cx="6115050" cy="4591050"/>
            <wp:effectExtent l="19050" t="0" r="0" b="0"/>
            <wp:docPr id="5" name="图片 5" descr="微信图片_2018052410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180524102654"/>
                    <pic:cNvPicPr>
                      <a:picLocks noChangeAspect="1" noChangeArrowheads="1"/>
                    </pic:cNvPicPr>
                  </pic:nvPicPr>
                  <pic:blipFill>
                    <a:blip r:embed="rId8" cstate="print"/>
                    <a:srcRect/>
                    <a:stretch>
                      <a:fillRect/>
                    </a:stretch>
                  </pic:blipFill>
                  <pic:spPr>
                    <a:xfrm>
                      <a:off x="0" y="0"/>
                      <a:ext cx="6115050" cy="4591050"/>
                    </a:xfrm>
                    <a:prstGeom prst="rect">
                      <a:avLst/>
                    </a:prstGeom>
                    <a:noFill/>
                    <a:ln w="9525">
                      <a:noFill/>
                      <a:miter lim="800000"/>
                      <a:headEnd/>
                      <a:tailEnd/>
                    </a:ln>
                  </pic:spPr>
                </pic:pic>
              </a:graphicData>
            </a:graphic>
          </wp:inline>
        </w:drawing>
      </w:r>
    </w:p>
    <w:p>
      <w:pPr>
        <w:rPr>
          <w:rFonts w:ascii="仿宋" w:hAnsi="仿宋" w:eastAsia="仿宋"/>
          <w:sz w:val="28"/>
          <w:szCs w:val="28"/>
        </w:rPr>
      </w:pPr>
    </w:p>
    <w:p>
      <w:pPr>
        <w:rPr>
          <w:rFonts w:ascii="仿宋" w:hAnsi="仿宋" w:eastAsia="仿宋"/>
          <w:sz w:val="28"/>
          <w:szCs w:val="28"/>
        </w:rPr>
      </w:pPr>
      <w:r>
        <w:rPr>
          <w:rFonts w:ascii="仿宋" w:hAnsi="仿宋" w:eastAsia="仿宋"/>
          <w:sz w:val="28"/>
          <w:szCs w:val="28"/>
        </w:rPr>
        <w:t>示范田初花期长势长相</w:t>
      </w:r>
    </w:p>
    <w:p>
      <w:pPr>
        <w:rPr>
          <w:rFonts w:ascii="仿宋" w:hAnsi="仿宋" w:eastAsia="仿宋"/>
          <w:color w:val="000000"/>
          <w:kern w:val="0"/>
          <w:sz w:val="28"/>
          <w:szCs w:val="28"/>
        </w:rPr>
      </w:pPr>
      <w:r>
        <w:rPr>
          <w:rFonts w:ascii="仿宋" w:hAnsi="仿宋" w:eastAsia="仿宋"/>
          <w:color w:val="000000"/>
          <w:kern w:val="0"/>
          <w:sz w:val="28"/>
          <w:szCs w:val="28"/>
        </w:rPr>
        <w:drawing>
          <wp:inline distT="0" distB="0" distL="0" distR="0">
            <wp:extent cx="5534025" cy="3124200"/>
            <wp:effectExtent l="19050" t="0" r="9525" b="0"/>
            <wp:docPr id="6" name="图片 12" descr="IMG_20180703_10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0180703_101728"/>
                    <pic:cNvPicPr>
                      <a:picLocks noChangeAspect="1" noChangeArrowheads="1"/>
                    </pic:cNvPicPr>
                  </pic:nvPicPr>
                  <pic:blipFill>
                    <a:blip r:embed="rId9" cstate="print"/>
                    <a:srcRect/>
                    <a:stretch>
                      <a:fillRect/>
                    </a:stretch>
                  </pic:blipFill>
                  <pic:spPr>
                    <a:xfrm>
                      <a:off x="0" y="0"/>
                      <a:ext cx="5534025" cy="3124200"/>
                    </a:xfrm>
                    <a:prstGeom prst="rect">
                      <a:avLst/>
                    </a:prstGeom>
                    <a:noFill/>
                    <a:ln w="9525">
                      <a:noFill/>
                      <a:miter lim="800000"/>
                      <a:headEnd/>
                      <a:tailEnd/>
                    </a:ln>
                  </pic:spPr>
                </pic:pic>
              </a:graphicData>
            </a:graphic>
          </wp:inline>
        </w:drawing>
      </w:r>
    </w:p>
    <w:p>
      <w:pPr>
        <w:rPr>
          <w:rFonts w:ascii="仿宋" w:hAnsi="仿宋" w:eastAsia="仿宋"/>
          <w:sz w:val="28"/>
          <w:szCs w:val="28"/>
        </w:rPr>
      </w:pPr>
      <w:r>
        <w:rPr>
          <w:rFonts w:ascii="仿宋" w:hAnsi="仿宋" w:eastAsia="仿宋"/>
          <w:sz w:val="28"/>
          <w:szCs w:val="28"/>
        </w:rPr>
        <w:t>示范田</w:t>
      </w:r>
      <w:r>
        <w:rPr>
          <w:rFonts w:hint="eastAsia" w:ascii="仿宋" w:hAnsi="仿宋" w:eastAsia="仿宋"/>
          <w:sz w:val="28"/>
          <w:szCs w:val="28"/>
        </w:rPr>
        <w:t>吐絮</w:t>
      </w:r>
      <w:r>
        <w:rPr>
          <w:rFonts w:ascii="仿宋" w:hAnsi="仿宋" w:eastAsia="仿宋"/>
          <w:sz w:val="28"/>
          <w:szCs w:val="28"/>
        </w:rPr>
        <w:t>期长势长相</w:t>
      </w:r>
      <w:r>
        <w:rPr>
          <w:rFonts w:hint="eastAsia" w:ascii="仿宋" w:hAnsi="仿宋" w:eastAsia="仿宋"/>
          <w:sz w:val="28"/>
          <w:szCs w:val="28"/>
        </w:rPr>
        <w:t>----</w:t>
      </w:r>
      <w:r>
        <w:rPr>
          <w:rFonts w:ascii="仿宋" w:hAnsi="仿宋" w:eastAsia="仿宋"/>
          <w:sz w:val="28"/>
          <w:szCs w:val="28"/>
        </w:rPr>
        <w:t>绿叶白花不早衰</w:t>
      </w:r>
    </w:p>
    <w:p>
      <w:pPr>
        <w:rPr>
          <w:rFonts w:ascii="仿宋" w:hAnsi="仿宋" w:eastAsia="仿宋"/>
          <w:sz w:val="28"/>
          <w:szCs w:val="28"/>
        </w:rPr>
      </w:pPr>
      <w:r>
        <w:rPr>
          <w:rFonts w:hint="eastAsia" w:ascii="仿宋" w:hAnsi="仿宋" w:eastAsia="仿宋"/>
          <w:sz w:val="28"/>
          <w:szCs w:val="28"/>
        </w:rPr>
        <w:drawing>
          <wp:inline distT="0" distB="0" distL="0" distR="0">
            <wp:extent cx="5267325" cy="2971800"/>
            <wp:effectExtent l="19050" t="0" r="9525" b="0"/>
            <wp:docPr id="7" name="图片 7" descr="IMG_20180910_14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80910_140028"/>
                    <pic:cNvPicPr>
                      <a:picLocks noChangeAspect="1" noChangeArrowheads="1"/>
                    </pic:cNvPicPr>
                  </pic:nvPicPr>
                  <pic:blipFill>
                    <a:blip r:embed="rId10" cstate="print"/>
                    <a:srcRect/>
                    <a:stretch>
                      <a:fillRect/>
                    </a:stretch>
                  </pic:blipFill>
                  <pic:spPr>
                    <a:xfrm>
                      <a:off x="0" y="0"/>
                      <a:ext cx="5267325" cy="2971800"/>
                    </a:xfrm>
                    <a:prstGeom prst="rect">
                      <a:avLst/>
                    </a:prstGeom>
                    <a:noFill/>
                    <a:ln w="9525">
                      <a:noFill/>
                      <a:miter lim="800000"/>
                      <a:headEnd/>
                      <a:tailEnd/>
                    </a:ln>
                  </pic:spPr>
                </pic:pic>
              </a:graphicData>
            </a:graphic>
          </wp:inline>
        </w:drawing>
      </w:r>
    </w:p>
    <w:p>
      <w:pPr>
        <w:pStyle w:val="8"/>
        <w:spacing w:line="560" w:lineRule="exact"/>
        <w:ind w:firstLine="640"/>
        <w:rPr>
          <w:rFonts w:ascii="宋体" w:hAnsi="宋体" w:eastAsia="宋体"/>
          <w:szCs w:val="32"/>
        </w:rPr>
      </w:pPr>
    </w:p>
    <w:p>
      <w:pPr>
        <w:spacing w:line="560" w:lineRule="exact"/>
        <w:ind w:firstLine="640" w:firstLineChars="200"/>
        <w:rPr>
          <w:sz w:val="32"/>
          <w:szCs w:val="32"/>
        </w:rPr>
      </w:pPr>
    </w:p>
    <w:p/>
    <w:sectPr>
      <w:pgSz w:w="11906" w:h="16838"/>
      <w:pgMar w:top="1440" w:right="1361" w:bottom="1440"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方正小标宋_GBK">
    <w:altName w:val="黑体"/>
    <w:panose1 w:val="00000000000000000000"/>
    <w:charset w:val="86"/>
    <w:family w:val="script"/>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D2615E"/>
    <w:rsid w:val="000336B5"/>
    <w:rsid w:val="000354AB"/>
    <w:rsid w:val="000B03E9"/>
    <w:rsid w:val="000B74D9"/>
    <w:rsid w:val="000D1A16"/>
    <w:rsid w:val="000F0BA0"/>
    <w:rsid w:val="0010097D"/>
    <w:rsid w:val="00180E55"/>
    <w:rsid w:val="00204AA8"/>
    <w:rsid w:val="00230146"/>
    <w:rsid w:val="00230642"/>
    <w:rsid w:val="002361AD"/>
    <w:rsid w:val="00255410"/>
    <w:rsid w:val="0028233F"/>
    <w:rsid w:val="002E2B87"/>
    <w:rsid w:val="002F004E"/>
    <w:rsid w:val="00374509"/>
    <w:rsid w:val="003D616A"/>
    <w:rsid w:val="00466B14"/>
    <w:rsid w:val="004972C1"/>
    <w:rsid w:val="004A5E74"/>
    <w:rsid w:val="004B3EA1"/>
    <w:rsid w:val="00576561"/>
    <w:rsid w:val="005E3411"/>
    <w:rsid w:val="006265C2"/>
    <w:rsid w:val="00627B6A"/>
    <w:rsid w:val="00644906"/>
    <w:rsid w:val="00662335"/>
    <w:rsid w:val="006A04F0"/>
    <w:rsid w:val="006C3A4F"/>
    <w:rsid w:val="007375B2"/>
    <w:rsid w:val="007508E7"/>
    <w:rsid w:val="00753D7B"/>
    <w:rsid w:val="00774C74"/>
    <w:rsid w:val="00783ADE"/>
    <w:rsid w:val="00853B3A"/>
    <w:rsid w:val="0085551E"/>
    <w:rsid w:val="00862C08"/>
    <w:rsid w:val="00890915"/>
    <w:rsid w:val="008A0E1E"/>
    <w:rsid w:val="00927C37"/>
    <w:rsid w:val="00963135"/>
    <w:rsid w:val="009A68B3"/>
    <w:rsid w:val="009B61D6"/>
    <w:rsid w:val="009B7669"/>
    <w:rsid w:val="009B7985"/>
    <w:rsid w:val="009C2DEC"/>
    <w:rsid w:val="00A45BA7"/>
    <w:rsid w:val="00AD53D7"/>
    <w:rsid w:val="00B10964"/>
    <w:rsid w:val="00B34C30"/>
    <w:rsid w:val="00B6075A"/>
    <w:rsid w:val="00B647B5"/>
    <w:rsid w:val="00BD0C45"/>
    <w:rsid w:val="00BD4028"/>
    <w:rsid w:val="00BD62D9"/>
    <w:rsid w:val="00BD64FF"/>
    <w:rsid w:val="00BE48D0"/>
    <w:rsid w:val="00C30906"/>
    <w:rsid w:val="00C45B9C"/>
    <w:rsid w:val="00C51102"/>
    <w:rsid w:val="00CA6332"/>
    <w:rsid w:val="00CC1886"/>
    <w:rsid w:val="00D023A5"/>
    <w:rsid w:val="00D2615E"/>
    <w:rsid w:val="00D71675"/>
    <w:rsid w:val="00D8432C"/>
    <w:rsid w:val="00DE0FD2"/>
    <w:rsid w:val="00E305C9"/>
    <w:rsid w:val="00E36D85"/>
    <w:rsid w:val="00E60959"/>
    <w:rsid w:val="00E641D3"/>
    <w:rsid w:val="00E66C55"/>
    <w:rsid w:val="00E858C6"/>
    <w:rsid w:val="00EB6D50"/>
    <w:rsid w:val="00EF1C89"/>
    <w:rsid w:val="00F270E9"/>
    <w:rsid w:val="00F642DB"/>
    <w:rsid w:val="00FC1C09"/>
    <w:rsid w:val="00FC69F4"/>
    <w:rsid w:val="00FF6BE3"/>
    <w:rsid w:val="2935076C"/>
    <w:rsid w:val="30E25A31"/>
    <w:rsid w:val="76BB3F93"/>
    <w:rsid w:val="786005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12"/>
    <w:semiHidden/>
    <w:unhideWhenUsed/>
    <w:qFormat/>
    <w:uiPriority w:val="99"/>
    <w:rPr>
      <w:sz w:val="18"/>
      <w:szCs w:val="18"/>
    </w:rPr>
  </w:style>
  <w:style w:type="paragraph" w:styleId="3">
    <w:name w:val="footer"/>
    <w:basedOn w:val="1"/>
    <w:link w:val="10"/>
    <w:semiHidden/>
    <w:unhideWhenUsed/>
    <w:qFormat/>
    <w:uiPriority w:val="99"/>
    <w:pPr>
      <w:tabs>
        <w:tab w:val="center" w:pos="4153"/>
        <w:tab w:val="right" w:pos="8306"/>
      </w:tabs>
      <w:snapToGrid w:val="0"/>
      <w:jc w:val="left"/>
    </w:pPr>
    <w:rPr>
      <w:sz w:val="18"/>
      <w:szCs w:val="18"/>
    </w:rPr>
  </w:style>
  <w:style w:type="paragraph" w:styleId="4">
    <w:name w:val="header"/>
    <w:basedOn w:val="1"/>
    <w:link w:val="9"/>
    <w:semiHidden/>
    <w:unhideWhenUsed/>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iPriority w:val="0"/>
    <w:pPr>
      <w:widowControl/>
      <w:spacing w:before="100" w:beforeAutospacing="1" w:after="100" w:afterAutospacing="1"/>
      <w:jc w:val="left"/>
    </w:pPr>
    <w:rPr>
      <w:rFonts w:ascii="宋体" w:hAnsi="宋体" w:cs="宋体"/>
      <w:kern w:val="0"/>
      <w:sz w:val="24"/>
    </w:rPr>
  </w:style>
  <w:style w:type="paragraph" w:customStyle="1" w:styleId="8">
    <w:name w:val="样式1"/>
    <w:basedOn w:val="1"/>
    <w:qFormat/>
    <w:uiPriority w:val="99"/>
    <w:pPr>
      <w:spacing w:line="520" w:lineRule="exact"/>
      <w:ind w:firstLine="200" w:firstLineChars="200"/>
    </w:pPr>
    <w:rPr>
      <w:rFonts w:ascii="仿宋_GB2312" w:eastAsia="仿宋_GB2312"/>
      <w:sz w:val="32"/>
    </w:rPr>
  </w:style>
  <w:style w:type="character" w:customStyle="1" w:styleId="9">
    <w:name w:val="页眉 Char"/>
    <w:basedOn w:val="7"/>
    <w:link w:val="4"/>
    <w:semiHidden/>
    <w:qFormat/>
    <w:uiPriority w:val="99"/>
    <w:rPr>
      <w:rFonts w:ascii="Times New Roman" w:hAnsi="Times New Roman" w:eastAsia="宋体" w:cs="Times New Roman"/>
      <w:sz w:val="18"/>
      <w:szCs w:val="18"/>
    </w:rPr>
  </w:style>
  <w:style w:type="character" w:customStyle="1" w:styleId="10">
    <w:name w:val="页脚 Char"/>
    <w:basedOn w:val="7"/>
    <w:link w:val="3"/>
    <w:semiHidden/>
    <w:qFormat/>
    <w:uiPriority w:val="99"/>
    <w:rPr>
      <w:rFonts w:ascii="Times New Roman" w:hAnsi="Times New Roman" w:eastAsia="宋体" w:cs="Times New Roman"/>
      <w:sz w:val="18"/>
      <w:szCs w:val="18"/>
    </w:rPr>
  </w:style>
  <w:style w:type="paragraph" w:styleId="11">
    <w:name w:val="List Paragraph"/>
    <w:basedOn w:val="1"/>
    <w:qFormat/>
    <w:uiPriority w:val="34"/>
    <w:pPr>
      <w:ind w:firstLine="420" w:firstLineChars="200"/>
    </w:pPr>
  </w:style>
  <w:style w:type="character" w:customStyle="1" w:styleId="12">
    <w:name w:val="批注框文本 Char"/>
    <w:basedOn w:val="7"/>
    <w:link w:val="2"/>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675</Words>
  <Characters>3852</Characters>
  <Lines>32</Lines>
  <Paragraphs>9</Paragraphs>
  <TotalTime>17</TotalTime>
  <ScaleCrop>false</ScaleCrop>
  <LinksUpToDate>false</LinksUpToDate>
  <CharactersWithSpaces>4518</CharactersWithSpaces>
  <Application>WPS Office_11.1.0.8976_F1E327BC-269C-435d-A152-05C5408002CA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2019-08-26T06:41:00Z</dcterms:created>
  <dc:creator>xtnkymh</dc:creator>
  <cp:lastModifiedBy>Administrator</cp:lastModifiedBy>
  <dcterms:modified xsi:type="dcterms:W3CDTF">2019-08-26T08:45:24Z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