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r>
        <w:rPr>
          <w:rFonts w:hint="eastAsia" w:ascii="方正小标宋简体" w:eastAsia="方正小标宋简体"/>
          <w:b w:val="0"/>
          <w:bCs w:val="0"/>
          <w:sz w:val="44"/>
          <w:szCs w:val="44"/>
          <w:lang w:eastAsia="zh-CN"/>
        </w:rPr>
        <w:t>邢台市农</w:t>
      </w:r>
      <w:bookmarkStart w:id="0" w:name="_GoBack"/>
      <w:bookmarkEnd w:id="0"/>
      <w:r>
        <w:rPr>
          <w:rFonts w:hint="eastAsia" w:ascii="方正小标宋简体" w:eastAsia="方正小标宋简体"/>
          <w:b w:val="0"/>
          <w:bCs w:val="0"/>
          <w:sz w:val="44"/>
          <w:szCs w:val="44"/>
          <w:lang w:eastAsia="zh-CN"/>
        </w:rPr>
        <w:t>业科学研究院</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rPr>
      </w:pPr>
      <w:r>
        <w:rPr>
          <w:rFonts w:hint="eastAsia" w:ascii="方正小标宋简体" w:eastAsia="方正小标宋简体"/>
          <w:b w:val="0"/>
          <w:bCs w:val="0"/>
          <w:sz w:val="44"/>
          <w:szCs w:val="44"/>
          <w:lang w:val="en-US" w:eastAsia="zh-CN"/>
        </w:rPr>
        <w:t>2020年</w:t>
      </w:r>
      <w:r>
        <w:rPr>
          <w:rFonts w:hint="eastAsia" w:ascii="方正小标宋简体" w:eastAsia="方正小标宋简体"/>
          <w:b w:val="0"/>
          <w:bCs w:val="0"/>
          <w:sz w:val="44"/>
          <w:szCs w:val="44"/>
        </w:rPr>
        <w:t>部门整体支出绩效评价报告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rPr>
      </w:pPr>
    </w:p>
    <w:p>
      <w:pPr>
        <w:keepNext w:val="0"/>
        <w:keepLines w:val="0"/>
        <w:pageBreakBefore w:val="0"/>
        <w:kinsoku/>
        <w:wordWrap/>
        <w:overflowPunct/>
        <w:topLinePunct w:val="0"/>
        <w:bidi w:val="0"/>
        <w:adjustRightIn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一、基本</w:t>
      </w:r>
      <w:r>
        <w:rPr>
          <w:rFonts w:hint="eastAsia" w:ascii="仿宋" w:hAnsi="仿宋" w:eastAsia="仿宋" w:cs="仿宋"/>
          <w:b w:val="0"/>
          <w:bCs w:val="0"/>
          <w:sz w:val="32"/>
          <w:szCs w:val="32"/>
          <w:lang w:eastAsia="zh-CN"/>
        </w:rPr>
        <w:t>概</w:t>
      </w:r>
      <w:r>
        <w:rPr>
          <w:rFonts w:hint="eastAsia" w:ascii="仿宋" w:hAnsi="仿宋" w:eastAsia="仿宋" w:cs="仿宋"/>
          <w:b w:val="0"/>
          <w:bCs w:val="0"/>
          <w:sz w:val="32"/>
          <w:szCs w:val="32"/>
        </w:rPr>
        <w:t>况</w:t>
      </w:r>
    </w:p>
    <w:p>
      <w:pPr>
        <w:keepNext w:val="0"/>
        <w:keepLines w:val="0"/>
        <w:pageBreakBefore w:val="0"/>
        <w:kinsoku/>
        <w:wordWrap/>
        <w:overflowPunct/>
        <w:topLinePunct w:val="0"/>
        <w:bidi w:val="0"/>
        <w:adjustRightIn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（一）主要职能</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邢台市农业科学研究院始建于1961年，是邢台市唯一的县处级农业科研机构，</w:t>
      </w:r>
      <w:r>
        <w:rPr>
          <w:rFonts w:hint="eastAsia" w:ascii="仿宋" w:hAnsi="仿宋" w:eastAsia="仿宋" w:cs="仿宋"/>
          <w:sz w:val="32"/>
          <w:szCs w:val="32"/>
          <w:lang w:eastAsia="zh-CN"/>
        </w:rPr>
        <w:t>为公益一类事业单位。</w:t>
      </w:r>
      <w:r>
        <w:rPr>
          <w:rFonts w:hint="eastAsia" w:ascii="仿宋" w:hAnsi="仿宋" w:eastAsia="仿宋" w:cs="仿宋"/>
          <w:sz w:val="32"/>
          <w:szCs w:val="32"/>
        </w:rPr>
        <w:t xml:space="preserve">主要进行小麦、玉米、花生、棉花、林果、花卉、蔬菜引、育种和栽培技术研究；从事家禽、家畜良种繁育和养殖技术研究；开展太行山区域治理；抓好新品种、新技术引进、示范和推广。主要职能有：                                     </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开展涉及全市农业生产的重大、关键性农业科学技术基础研究、应用研究、开发研究以及宏观农业研究。</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承担国家和省、市重大农业科学技术的研究课题，接受横向委托的重大农业科学技术的研究课题，组织全市农业科研协作。</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开展农业新品种、新技术等科技成果示范推广和科技下乡等科技服务工作，推进科技兴农和农业产业化经营，为农民提供及时、有效的农业科技信息，培养新农民。</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引进农业科研学科带头人，培养中青年科技骨干，建立农业科技创新人才梯队。</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参与本市农业突发性自然灾害的灾情调查，并提出切实可行的抗灾、减灾措施。</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承办市委、市政府交办的其他事项。</w:t>
      </w:r>
    </w:p>
    <w:p>
      <w:pPr>
        <w:keepNext w:val="0"/>
        <w:keepLines w:val="0"/>
        <w:pageBreakBefore w:val="0"/>
        <w:tabs>
          <w:tab w:val="left" w:pos="1395"/>
        </w:tabs>
        <w:kinsoku/>
        <w:wordWrap/>
        <w:overflowPunct/>
        <w:topLinePunct w:val="0"/>
        <w:bidi w:val="0"/>
        <w:adjustRightInd/>
        <w:spacing w:line="560" w:lineRule="exact"/>
        <w:ind w:firstLine="640" w:firstLineChars="200"/>
        <w:textAlignment w:val="auto"/>
        <w:rPr>
          <w:rFonts w:hint="eastAsia" w:ascii="仿宋" w:hAnsi="仿宋" w:eastAsia="仿宋" w:cs="仿宋"/>
          <w:b w:val="0"/>
          <w:bCs/>
          <w:kern w:val="0"/>
          <w:sz w:val="32"/>
          <w:szCs w:val="32"/>
        </w:rPr>
      </w:pPr>
      <w:r>
        <w:rPr>
          <w:rFonts w:hint="eastAsia" w:ascii="仿宋" w:hAnsi="仿宋" w:eastAsia="仿宋" w:cs="仿宋"/>
          <w:sz w:val="32"/>
          <w:szCs w:val="32"/>
          <w:lang w:val="en-US" w:eastAsia="zh-CN"/>
        </w:rPr>
        <w:t>（二）组织架构</w:t>
      </w:r>
      <w:r>
        <w:rPr>
          <w:rFonts w:hint="eastAsia" w:ascii="仿宋" w:hAnsi="仿宋" w:eastAsia="仿宋" w:cs="仿宋"/>
          <w:b w:val="0"/>
          <w:bCs/>
          <w:kern w:val="0"/>
          <w:sz w:val="32"/>
          <w:szCs w:val="32"/>
        </w:rPr>
        <w:t xml:space="preserve"> </w:t>
      </w:r>
    </w:p>
    <w:p>
      <w:pPr>
        <w:keepNext w:val="0"/>
        <w:keepLines w:val="0"/>
        <w:pageBreakBefore w:val="0"/>
        <w:widowControl/>
        <w:kinsoku/>
        <w:wordWrap/>
        <w:overflowPunct/>
        <w:topLinePunct w:val="0"/>
        <w:bidi w:val="0"/>
        <w:adjustRightInd/>
        <w:spacing w:line="560" w:lineRule="exact"/>
        <w:ind w:firstLine="645"/>
        <w:jc w:val="left"/>
        <w:textAlignment w:val="auto"/>
        <w:rPr>
          <w:rFonts w:hint="eastAsia" w:ascii="仿宋" w:hAnsi="仿宋" w:eastAsia="仿宋" w:cs="仿宋"/>
          <w:sz w:val="32"/>
          <w:szCs w:val="32"/>
        </w:rPr>
      </w:pPr>
      <w:r>
        <w:rPr>
          <w:rFonts w:hint="eastAsia" w:ascii="仿宋" w:hAnsi="仿宋" w:eastAsia="仿宋" w:cs="仿宋"/>
          <w:kern w:val="0"/>
          <w:sz w:val="32"/>
          <w:szCs w:val="32"/>
        </w:rPr>
        <w:t>邢台市农业科学研究院</w:t>
      </w:r>
      <w:r>
        <w:rPr>
          <w:rFonts w:hint="eastAsia" w:ascii="仿宋" w:hAnsi="仿宋" w:eastAsia="仿宋" w:cs="仿宋"/>
          <w:kern w:val="0"/>
          <w:sz w:val="32"/>
          <w:szCs w:val="32"/>
          <w:lang w:eastAsia="zh-CN"/>
        </w:rPr>
        <w:t>单位性质为事业，单位规格为正处级，经费保障形式为财政性资金基本保证，</w:t>
      </w:r>
      <w:r>
        <w:rPr>
          <w:rFonts w:hint="eastAsia" w:ascii="仿宋" w:hAnsi="仿宋" w:eastAsia="仿宋" w:cs="仿宋"/>
          <w:kern w:val="0"/>
          <w:sz w:val="32"/>
          <w:szCs w:val="32"/>
        </w:rPr>
        <w:t>部门机构设置情况如下，</w:t>
      </w:r>
      <w:r>
        <w:rPr>
          <w:rFonts w:hint="eastAsia" w:ascii="仿宋" w:hAnsi="仿宋" w:eastAsia="仿宋" w:cs="仿宋"/>
          <w:sz w:val="32"/>
          <w:szCs w:val="32"/>
        </w:rPr>
        <w:t>内设9个处室：办公室、人事处、财务处、科管处、粮食作物研究所、经济作物研究所、林果研究所、畜牧研究所、农试场。</w:t>
      </w:r>
    </w:p>
    <w:p>
      <w:pPr>
        <w:keepNext w:val="0"/>
        <w:keepLines w:val="0"/>
        <w:pageBreakBefore w:val="0"/>
        <w:numPr>
          <w:ilvl w:val="0"/>
          <w:numId w:val="0"/>
        </w:numPr>
        <w:kinsoku/>
        <w:wordWrap/>
        <w:overflowPunct/>
        <w:topLinePunct w:val="0"/>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sz w:val="32"/>
          <w:szCs w:val="32"/>
          <w:lang w:eastAsia="zh-CN"/>
        </w:rPr>
        <w:t>（三）</w:t>
      </w:r>
      <w:r>
        <w:rPr>
          <w:rFonts w:hint="eastAsia" w:ascii="仿宋" w:hAnsi="仿宋" w:eastAsia="仿宋" w:cs="仿宋"/>
          <w:color w:val="auto"/>
          <w:sz w:val="32"/>
          <w:szCs w:val="32"/>
        </w:rPr>
        <w:t>人员</w:t>
      </w:r>
      <w:r>
        <w:rPr>
          <w:rFonts w:hint="eastAsia" w:ascii="仿宋" w:hAnsi="仿宋" w:eastAsia="仿宋" w:cs="仿宋"/>
          <w:color w:val="auto"/>
          <w:sz w:val="32"/>
          <w:szCs w:val="32"/>
          <w:lang w:eastAsia="zh-CN"/>
        </w:rPr>
        <w:t>及资产</w:t>
      </w:r>
      <w:r>
        <w:rPr>
          <w:rFonts w:hint="eastAsia" w:ascii="仿宋" w:hAnsi="仿宋" w:eastAsia="仿宋" w:cs="仿宋"/>
          <w:color w:val="auto"/>
          <w:sz w:val="32"/>
          <w:szCs w:val="32"/>
        </w:rPr>
        <w:t>情况</w:t>
      </w:r>
    </w:p>
    <w:p>
      <w:pPr>
        <w:keepNext w:val="0"/>
        <w:keepLines w:val="0"/>
        <w:pageBreakBefore w:val="0"/>
        <w:numPr>
          <w:ilvl w:val="0"/>
          <w:numId w:val="0"/>
        </w:numPr>
        <w:kinsoku/>
        <w:wordWrap/>
        <w:overflowPunct/>
        <w:topLinePunct w:val="0"/>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定编85人，年末实有7</w:t>
      </w: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rPr>
        <w:t>人，</w:t>
      </w:r>
      <w:r>
        <w:rPr>
          <w:rFonts w:hint="eastAsia" w:ascii="仿宋" w:hAnsi="仿宋" w:eastAsia="仿宋" w:cs="仿宋"/>
          <w:color w:val="auto"/>
          <w:sz w:val="32"/>
          <w:szCs w:val="32"/>
          <w:lang w:val="en-US" w:eastAsia="zh-CN"/>
        </w:rPr>
        <w:t>(其中包括农试场经费自理人员5人)，</w:t>
      </w:r>
      <w:r>
        <w:rPr>
          <w:rFonts w:hint="eastAsia" w:ascii="仿宋" w:hAnsi="仿宋" w:eastAsia="仿宋" w:cs="仿宋"/>
          <w:color w:val="auto"/>
          <w:sz w:val="32"/>
          <w:szCs w:val="32"/>
        </w:rPr>
        <w:t>离休1人，退休40人。</w:t>
      </w:r>
    </w:p>
    <w:p>
      <w:pPr>
        <w:keepNext w:val="0"/>
        <w:keepLines w:val="0"/>
        <w:pageBreakBefore w:val="0"/>
        <w:numPr>
          <w:ilvl w:val="0"/>
          <w:numId w:val="0"/>
        </w:numPr>
        <w:kinsoku/>
        <w:wordWrap/>
        <w:overflowPunct/>
        <w:topLinePunct w:val="0"/>
        <w:bidi w:val="0"/>
        <w:adjustRightInd/>
        <w:spacing w:line="560" w:lineRule="exact"/>
        <w:textAlignment w:val="auto"/>
        <w:rPr>
          <w:rFonts w:hint="eastAsia" w:ascii="仿宋" w:hAnsi="仿宋" w:eastAsia="仿宋" w:cs="仿宋"/>
          <w:color w:val="auto"/>
          <w:sz w:val="32"/>
          <w:lang w:eastAsia="zh-CN"/>
        </w:rPr>
      </w:pPr>
      <w:r>
        <w:rPr>
          <w:rFonts w:hint="eastAsia" w:ascii="仿宋" w:hAnsi="仿宋" w:eastAsia="仿宋" w:cs="仿宋"/>
          <w:color w:val="auto"/>
          <w:sz w:val="32"/>
          <w:lang w:eastAsia="zh-CN"/>
        </w:rPr>
        <w:t>2020年年末货币资金1595371.73元，财政应返还额度129572.54元，房屋5385065元。车辆606400元。与上年度相比，货币资金减少1022712.41元，减少39.06%，主要因为收入减少。车辆与上年相比无变化。同时，项目经费本年底有结余，转入财政应返还额度129572.54元，上年结余财政补助结转项目经费支出68619元，本年末结转经费比上年末增加88.83%，总资产相对增加。</w:t>
      </w:r>
    </w:p>
    <w:p>
      <w:pPr>
        <w:keepNext w:val="0"/>
        <w:keepLines w:val="0"/>
        <w:pageBreakBefore w:val="0"/>
        <w:numPr>
          <w:ilvl w:val="0"/>
          <w:numId w:val="0"/>
        </w:numPr>
        <w:kinsoku/>
        <w:wordWrap/>
        <w:overflowPunct/>
        <w:topLinePunct w:val="0"/>
        <w:bidi w:val="0"/>
        <w:adjustRightIn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lang w:eastAsia="zh-CN"/>
        </w:rPr>
        <w:t>（四）</w:t>
      </w:r>
      <w:r>
        <w:rPr>
          <w:rFonts w:hint="eastAsia" w:ascii="仿宋" w:hAnsi="仿宋" w:eastAsia="仿宋" w:cs="仿宋"/>
          <w:color w:val="auto"/>
          <w:sz w:val="32"/>
          <w:szCs w:val="32"/>
          <w:lang w:val="en-US" w:eastAsia="zh-CN"/>
        </w:rPr>
        <w:t>部门履职总体目标</w:t>
      </w:r>
    </w:p>
    <w:p>
      <w:pPr>
        <w:keepNext w:val="0"/>
        <w:keepLines w:val="0"/>
        <w:pageBreakBefore w:val="0"/>
        <w:numPr>
          <w:ilvl w:val="0"/>
          <w:numId w:val="0"/>
        </w:numPr>
        <w:kinsoku/>
        <w:wordWrap/>
        <w:overflowPunct/>
        <w:topLinePunct w:val="0"/>
        <w:bidi w:val="0"/>
        <w:adjustRightIn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深入学习党的十九大精神，聚焦乡村振兴战略，以推进农业供给侧结构性改革为主线，以目标绩效考核为抓手，加强作风整顿，不断加大科技创新、科技服务力度，全力营造比学赶超、创先争优的干事氛围，高质量发展的内生动力，力争学科特色更鲜明、人才结构更合理，推动全院各项工作提档升级、全面进步，为建成省内一流农科院，为邢台现代农业发展提供强有力的科技引领和支撑作用。</w:t>
      </w:r>
    </w:p>
    <w:p>
      <w:pPr>
        <w:keepNext w:val="0"/>
        <w:keepLines w:val="0"/>
        <w:pageBreakBefore w:val="0"/>
        <w:numPr>
          <w:ilvl w:val="0"/>
          <w:numId w:val="1"/>
        </w:numPr>
        <w:kinsoku/>
        <w:wordWrap/>
        <w:overflowPunct/>
        <w:topLinePunct w:val="0"/>
        <w:bidi w:val="0"/>
        <w:adjustRightIn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年度整体绩效目标</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right="0" w:rightChars="0" w:firstLine="640" w:firstLineChars="200"/>
        <w:textAlignment w:val="auto"/>
        <w:rPr>
          <w:rFonts w:hint="eastAsia" w:ascii="仿宋" w:hAnsi="仿宋" w:eastAsia="仿宋" w:cs="仿宋"/>
          <w:b w:val="0"/>
          <w:bCs w:val="0"/>
          <w:color w:val="auto"/>
          <w:kern w:val="2"/>
          <w:sz w:val="32"/>
          <w:szCs w:val="32"/>
          <w:lang w:val="en-US" w:eastAsia="zh-CN"/>
        </w:rPr>
      </w:pPr>
      <w:r>
        <w:rPr>
          <w:rFonts w:hint="eastAsia" w:ascii="仿宋" w:hAnsi="仿宋" w:eastAsia="仿宋" w:cs="仿宋"/>
          <w:b w:val="0"/>
          <w:bCs w:val="0"/>
          <w:color w:val="auto"/>
          <w:kern w:val="2"/>
          <w:sz w:val="32"/>
          <w:szCs w:val="32"/>
          <w:lang w:val="en-US" w:eastAsia="zh-CN"/>
        </w:rPr>
        <w:t>经院学术委员会评估和财务处汇总，2020年度部门整体支出绩效目标设定如下：</w:t>
      </w:r>
    </w:p>
    <w:tbl>
      <w:tblPr>
        <w:tblStyle w:val="6"/>
        <w:tblW w:w="10271" w:type="dxa"/>
        <w:jc w:val="center"/>
        <w:tblInd w:w="0" w:type="dxa"/>
        <w:tblLayout w:type="fixed"/>
        <w:tblCellMar>
          <w:top w:w="0" w:type="dxa"/>
          <w:left w:w="0" w:type="dxa"/>
          <w:bottom w:w="0" w:type="dxa"/>
          <w:right w:w="0" w:type="dxa"/>
        </w:tblCellMar>
      </w:tblPr>
      <w:tblGrid>
        <w:gridCol w:w="1110"/>
        <w:gridCol w:w="1050"/>
        <w:gridCol w:w="915"/>
        <w:gridCol w:w="585"/>
        <w:gridCol w:w="585"/>
        <w:gridCol w:w="1215"/>
        <w:gridCol w:w="765"/>
        <w:gridCol w:w="976"/>
        <w:gridCol w:w="704"/>
        <w:gridCol w:w="240"/>
        <w:gridCol w:w="2126"/>
      </w:tblGrid>
      <w:tr>
        <w:tblPrEx>
          <w:tblLayout w:type="fixed"/>
          <w:tblCellMar>
            <w:top w:w="0" w:type="dxa"/>
            <w:left w:w="0" w:type="dxa"/>
            <w:bottom w:w="0" w:type="dxa"/>
            <w:right w:w="0" w:type="dxa"/>
          </w:tblCellMar>
        </w:tblPrEx>
        <w:trPr>
          <w:trHeight w:val="405" w:hRule="atLeast"/>
          <w:jc w:val="center"/>
        </w:trPr>
        <w:tc>
          <w:tcPr>
            <w:tcW w:w="10271" w:type="dxa"/>
            <w:gridSpan w:val="11"/>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32"/>
                <w:szCs w:val="32"/>
                <w:u w:val="none"/>
              </w:rPr>
            </w:pPr>
            <w:r>
              <w:rPr>
                <w:rFonts w:hint="eastAsia" w:ascii="宋体" w:hAnsi="宋体" w:eastAsia="宋体" w:cs="宋体"/>
                <w:b/>
                <w:i w:val="0"/>
                <w:color w:val="auto"/>
                <w:kern w:val="0"/>
                <w:sz w:val="32"/>
                <w:szCs w:val="32"/>
                <w:u w:val="none"/>
                <w:lang w:val="en-US" w:eastAsia="zh-CN" w:bidi="ar"/>
              </w:rPr>
              <w:t>邢台市部门整体支出绩效目标表</w:t>
            </w:r>
          </w:p>
        </w:tc>
      </w:tr>
      <w:tr>
        <w:tblPrEx>
          <w:tblLayout w:type="fixed"/>
          <w:tblCellMar>
            <w:top w:w="0" w:type="dxa"/>
            <w:left w:w="0" w:type="dxa"/>
            <w:bottom w:w="0" w:type="dxa"/>
            <w:right w:w="0" w:type="dxa"/>
          </w:tblCellMar>
        </w:tblPrEx>
        <w:trPr>
          <w:trHeight w:val="90" w:hRule="atLeast"/>
          <w:jc w:val="center"/>
        </w:trPr>
        <w:tc>
          <w:tcPr>
            <w:tcW w:w="10271" w:type="dxa"/>
            <w:gridSpan w:val="11"/>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32"/>
                <w:szCs w:val="32"/>
                <w:u w:val="none"/>
              </w:rPr>
            </w:pPr>
            <w:r>
              <w:rPr>
                <w:rFonts w:hint="eastAsia" w:ascii="宋体" w:hAnsi="宋体" w:eastAsia="宋体" w:cs="宋体"/>
                <w:i w:val="0"/>
                <w:color w:val="auto"/>
                <w:kern w:val="0"/>
                <w:sz w:val="32"/>
                <w:szCs w:val="32"/>
                <w:u w:val="none"/>
                <w:lang w:val="en-US" w:eastAsia="zh-CN" w:bidi="ar"/>
              </w:rPr>
              <w:t>（2020年度）</w:t>
            </w:r>
          </w:p>
        </w:tc>
      </w:tr>
      <w:tr>
        <w:tblPrEx>
          <w:tblLayout w:type="fixed"/>
          <w:tblCellMar>
            <w:top w:w="0" w:type="dxa"/>
            <w:left w:w="0" w:type="dxa"/>
            <w:bottom w:w="0" w:type="dxa"/>
            <w:right w:w="0" w:type="dxa"/>
          </w:tblCellMar>
        </w:tblPrEx>
        <w:trPr>
          <w:trHeight w:val="420" w:hRule="atLeast"/>
          <w:jc w:val="center"/>
        </w:trPr>
        <w:tc>
          <w:tcPr>
            <w:tcW w:w="3075" w:type="dxa"/>
            <w:gridSpan w:val="3"/>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填报单位（盖公章）：</w:t>
            </w:r>
          </w:p>
        </w:tc>
        <w:tc>
          <w:tcPr>
            <w:tcW w:w="585" w:type="dxa"/>
            <w:tcBorders>
              <w:top w:val="nil"/>
              <w:left w:val="nil"/>
              <w:bottom w:val="single" w:color="000000" w:sz="4" w:space="0"/>
              <w:right w:val="nil"/>
            </w:tcBorders>
            <w:noWrap/>
            <w:tcMar>
              <w:top w:w="15" w:type="dxa"/>
              <w:left w:w="15" w:type="dxa"/>
              <w:right w:w="15" w:type="dxa"/>
            </w:tcMar>
            <w:vAlign w:val="center"/>
          </w:tcPr>
          <w:p>
            <w:pPr>
              <w:jc w:val="center"/>
              <w:rPr>
                <w:rFonts w:hint="eastAsia" w:ascii="宋体" w:hAnsi="宋体" w:eastAsia="宋体" w:cs="宋体"/>
                <w:b/>
                <w:i w:val="0"/>
                <w:color w:val="auto"/>
                <w:sz w:val="32"/>
                <w:szCs w:val="32"/>
                <w:u w:val="none"/>
              </w:rPr>
            </w:pPr>
          </w:p>
        </w:tc>
        <w:tc>
          <w:tcPr>
            <w:tcW w:w="585" w:type="dxa"/>
            <w:tcBorders>
              <w:top w:val="nil"/>
              <w:left w:val="nil"/>
              <w:bottom w:val="single" w:color="000000" w:sz="4" w:space="0"/>
              <w:right w:val="nil"/>
            </w:tcBorders>
            <w:noWrap/>
            <w:tcMar>
              <w:top w:w="15" w:type="dxa"/>
              <w:left w:w="15" w:type="dxa"/>
              <w:right w:w="15" w:type="dxa"/>
            </w:tcMar>
            <w:vAlign w:val="center"/>
          </w:tcPr>
          <w:p>
            <w:pPr>
              <w:jc w:val="center"/>
              <w:rPr>
                <w:rFonts w:hint="eastAsia" w:ascii="宋体" w:hAnsi="宋体" w:eastAsia="宋体" w:cs="宋体"/>
                <w:b/>
                <w:i w:val="0"/>
                <w:color w:val="auto"/>
                <w:sz w:val="32"/>
                <w:szCs w:val="32"/>
                <w:u w:val="none"/>
              </w:rPr>
            </w:pPr>
          </w:p>
        </w:tc>
        <w:tc>
          <w:tcPr>
            <w:tcW w:w="1215" w:type="dxa"/>
            <w:tcBorders>
              <w:top w:val="nil"/>
              <w:left w:val="nil"/>
              <w:bottom w:val="single" w:color="000000" w:sz="4" w:space="0"/>
              <w:right w:val="nil"/>
            </w:tcBorders>
            <w:noWrap/>
            <w:tcMar>
              <w:top w:w="15" w:type="dxa"/>
              <w:left w:w="15" w:type="dxa"/>
              <w:right w:w="15" w:type="dxa"/>
            </w:tcMar>
            <w:vAlign w:val="center"/>
          </w:tcPr>
          <w:p>
            <w:pPr>
              <w:jc w:val="center"/>
              <w:rPr>
                <w:rFonts w:hint="eastAsia" w:ascii="宋体" w:hAnsi="宋体" w:eastAsia="宋体" w:cs="宋体"/>
                <w:b/>
                <w:i w:val="0"/>
                <w:color w:val="auto"/>
                <w:sz w:val="32"/>
                <w:szCs w:val="32"/>
                <w:u w:val="none"/>
              </w:rPr>
            </w:pPr>
          </w:p>
        </w:tc>
        <w:tc>
          <w:tcPr>
            <w:tcW w:w="765" w:type="dxa"/>
            <w:tcBorders>
              <w:top w:val="nil"/>
              <w:left w:val="nil"/>
              <w:bottom w:val="single" w:color="000000" w:sz="4" w:space="0"/>
              <w:right w:val="nil"/>
            </w:tcBorders>
            <w:noWrap/>
            <w:tcMar>
              <w:top w:w="15" w:type="dxa"/>
              <w:left w:w="15" w:type="dxa"/>
              <w:right w:w="15" w:type="dxa"/>
            </w:tcMar>
            <w:vAlign w:val="center"/>
          </w:tcPr>
          <w:p>
            <w:pPr>
              <w:jc w:val="center"/>
              <w:rPr>
                <w:rFonts w:hint="eastAsia" w:ascii="宋体" w:hAnsi="宋体" w:eastAsia="宋体" w:cs="宋体"/>
                <w:b/>
                <w:i w:val="0"/>
                <w:color w:val="auto"/>
                <w:sz w:val="32"/>
                <w:szCs w:val="32"/>
                <w:u w:val="none"/>
              </w:rPr>
            </w:pPr>
          </w:p>
        </w:tc>
        <w:tc>
          <w:tcPr>
            <w:tcW w:w="976" w:type="dxa"/>
            <w:tcBorders>
              <w:top w:val="nil"/>
              <w:left w:val="nil"/>
              <w:bottom w:val="single" w:color="000000" w:sz="4" w:space="0"/>
              <w:right w:val="nil"/>
            </w:tcBorders>
            <w:noWrap/>
            <w:tcMar>
              <w:top w:w="15" w:type="dxa"/>
              <w:left w:w="15" w:type="dxa"/>
              <w:right w:w="15" w:type="dxa"/>
            </w:tcMar>
            <w:vAlign w:val="center"/>
          </w:tcPr>
          <w:p>
            <w:pPr>
              <w:jc w:val="center"/>
              <w:rPr>
                <w:rFonts w:hint="eastAsia" w:ascii="宋体" w:hAnsi="宋体" w:eastAsia="宋体" w:cs="宋体"/>
                <w:b/>
                <w:i w:val="0"/>
                <w:color w:val="auto"/>
                <w:sz w:val="32"/>
                <w:szCs w:val="32"/>
                <w:u w:val="none"/>
              </w:rPr>
            </w:pPr>
          </w:p>
        </w:tc>
        <w:tc>
          <w:tcPr>
            <w:tcW w:w="704" w:type="dxa"/>
            <w:tcBorders>
              <w:top w:val="nil"/>
              <w:left w:val="nil"/>
              <w:bottom w:val="single" w:color="000000" w:sz="4" w:space="0"/>
              <w:right w:val="nil"/>
            </w:tcBorders>
            <w:noWrap/>
            <w:tcMar>
              <w:top w:w="15" w:type="dxa"/>
              <w:left w:w="15" w:type="dxa"/>
              <w:right w:w="15" w:type="dxa"/>
            </w:tcMar>
            <w:vAlign w:val="center"/>
          </w:tcPr>
          <w:p>
            <w:pPr>
              <w:jc w:val="center"/>
              <w:rPr>
                <w:rFonts w:hint="eastAsia" w:ascii="宋体" w:hAnsi="宋体" w:eastAsia="宋体" w:cs="宋体"/>
                <w:b/>
                <w:i w:val="0"/>
                <w:color w:val="auto"/>
                <w:sz w:val="32"/>
                <w:szCs w:val="32"/>
                <w:u w:val="none"/>
              </w:rPr>
            </w:pPr>
          </w:p>
        </w:tc>
        <w:tc>
          <w:tcPr>
            <w:tcW w:w="240" w:type="dxa"/>
            <w:tcBorders>
              <w:top w:val="nil"/>
              <w:left w:val="nil"/>
              <w:bottom w:val="single" w:color="000000" w:sz="4" w:space="0"/>
              <w:right w:val="nil"/>
            </w:tcBorders>
            <w:noWrap/>
            <w:tcMar>
              <w:top w:w="15" w:type="dxa"/>
              <w:left w:w="15" w:type="dxa"/>
              <w:right w:w="15" w:type="dxa"/>
            </w:tcMar>
            <w:vAlign w:val="center"/>
          </w:tcPr>
          <w:p>
            <w:pPr>
              <w:jc w:val="center"/>
              <w:rPr>
                <w:rFonts w:hint="eastAsia" w:ascii="宋体" w:hAnsi="宋体" w:eastAsia="宋体" w:cs="宋体"/>
                <w:b/>
                <w:i w:val="0"/>
                <w:color w:val="auto"/>
                <w:sz w:val="32"/>
                <w:szCs w:val="32"/>
                <w:u w:val="none"/>
              </w:rPr>
            </w:pPr>
          </w:p>
        </w:tc>
        <w:tc>
          <w:tcPr>
            <w:tcW w:w="2126" w:type="dxa"/>
            <w:tcBorders>
              <w:top w:val="nil"/>
              <w:left w:val="nil"/>
              <w:bottom w:val="single" w:color="000000" w:sz="4" w:space="0"/>
              <w:right w:val="nil"/>
            </w:tcBorders>
            <w:noWrap/>
            <w:tcMar>
              <w:top w:w="15" w:type="dxa"/>
              <w:left w:w="15" w:type="dxa"/>
              <w:right w:w="15" w:type="dxa"/>
            </w:tcMar>
            <w:vAlign w:val="center"/>
          </w:tcPr>
          <w:p>
            <w:pPr>
              <w:jc w:val="center"/>
              <w:rPr>
                <w:rFonts w:hint="eastAsia" w:ascii="宋体" w:hAnsi="宋体" w:eastAsia="宋体" w:cs="宋体"/>
                <w:b/>
                <w:i w:val="0"/>
                <w:color w:val="auto"/>
                <w:sz w:val="32"/>
                <w:szCs w:val="32"/>
                <w:u w:val="none"/>
              </w:rPr>
            </w:pPr>
          </w:p>
        </w:tc>
      </w:tr>
      <w:tr>
        <w:tblPrEx>
          <w:tblLayout w:type="fixed"/>
          <w:tblCellMar>
            <w:top w:w="0" w:type="dxa"/>
            <w:left w:w="0" w:type="dxa"/>
            <w:bottom w:w="0" w:type="dxa"/>
            <w:right w:w="0" w:type="dxa"/>
          </w:tblCellMar>
        </w:tblPrEx>
        <w:trPr>
          <w:trHeight w:val="705" w:hRule="atLeast"/>
          <w:jc w:val="center"/>
        </w:trPr>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部门名称</w:t>
            </w:r>
          </w:p>
        </w:tc>
        <w:tc>
          <w:tcPr>
            <w:tcW w:w="9161" w:type="dxa"/>
            <w:gridSpan w:val="10"/>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邢台市农业科学研究院</w:t>
            </w:r>
          </w:p>
        </w:tc>
      </w:tr>
      <w:tr>
        <w:tblPrEx>
          <w:tblLayout w:type="fixed"/>
          <w:tblCellMar>
            <w:top w:w="0" w:type="dxa"/>
            <w:left w:w="0" w:type="dxa"/>
            <w:bottom w:w="0" w:type="dxa"/>
            <w:right w:w="0" w:type="dxa"/>
          </w:tblCellMar>
        </w:tblPrEx>
        <w:trPr>
          <w:trHeight w:val="390" w:hRule="atLeast"/>
          <w:jc w:val="center"/>
        </w:trPr>
        <w:tc>
          <w:tcPr>
            <w:tcW w:w="111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年度预算（万元）</w:t>
            </w:r>
          </w:p>
        </w:tc>
        <w:tc>
          <w:tcPr>
            <w:tcW w:w="9161"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年度收入预算</w:t>
            </w:r>
          </w:p>
        </w:tc>
      </w:tr>
      <w:tr>
        <w:tblPrEx>
          <w:tblLayout w:type="fixed"/>
          <w:tblCellMar>
            <w:top w:w="0" w:type="dxa"/>
            <w:left w:w="0" w:type="dxa"/>
            <w:bottom w:w="0" w:type="dxa"/>
            <w:right w:w="0" w:type="dxa"/>
          </w:tblCellMar>
        </w:tblPrEx>
        <w:trPr>
          <w:trHeight w:val="81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5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一般公共预算拨入</w:t>
            </w:r>
          </w:p>
        </w:tc>
        <w:tc>
          <w:tcPr>
            <w:tcW w:w="18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政府基金预算拨入</w:t>
            </w:r>
          </w:p>
        </w:tc>
        <w:tc>
          <w:tcPr>
            <w:tcW w:w="7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提前告知转移支付</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上年结转</w:t>
            </w:r>
          </w:p>
        </w:tc>
        <w:tc>
          <w:tcPr>
            <w:tcW w:w="70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2"/>
                <w:szCs w:val="22"/>
                <w:u w:val="none"/>
                <w:lang w:val="en-US" w:eastAsia="zh-CN" w:bidi="ar"/>
              </w:rPr>
            </w:pPr>
            <w:r>
              <w:rPr>
                <w:rFonts w:hint="eastAsia" w:ascii="宋体" w:hAnsi="宋体" w:eastAsia="宋体" w:cs="宋体"/>
                <w:i w:val="0"/>
                <w:color w:val="auto"/>
                <w:kern w:val="0"/>
                <w:sz w:val="22"/>
                <w:szCs w:val="22"/>
                <w:u w:val="none"/>
                <w:lang w:val="en-US" w:eastAsia="zh-CN" w:bidi="ar"/>
              </w:rPr>
              <w:t>单位</w:t>
            </w:r>
          </w:p>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自筹</w:t>
            </w:r>
          </w:p>
        </w:tc>
        <w:tc>
          <w:tcPr>
            <w:tcW w:w="236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其它收入（含经营收入）</w:t>
            </w:r>
          </w:p>
        </w:tc>
      </w:tr>
      <w:tr>
        <w:tblPrEx>
          <w:tblLayout w:type="fixed"/>
          <w:tblCellMar>
            <w:top w:w="0" w:type="dxa"/>
            <w:left w:w="0" w:type="dxa"/>
            <w:bottom w:w="0" w:type="dxa"/>
            <w:right w:w="0" w:type="dxa"/>
          </w:tblCellMar>
        </w:tblPrEx>
        <w:trPr>
          <w:trHeight w:val="6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1251.42</w:t>
            </w:r>
          </w:p>
        </w:tc>
        <w:tc>
          <w:tcPr>
            <w:tcW w:w="15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1246.22</w:t>
            </w:r>
          </w:p>
        </w:tc>
        <w:tc>
          <w:tcPr>
            <w:tcW w:w="18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c>
          <w:tcPr>
            <w:tcW w:w="70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c>
          <w:tcPr>
            <w:tcW w:w="236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5.2</w:t>
            </w:r>
          </w:p>
        </w:tc>
      </w:tr>
      <w:tr>
        <w:tblPrEx>
          <w:tblLayout w:type="fixed"/>
          <w:tblCellMar>
            <w:top w:w="0" w:type="dxa"/>
            <w:left w:w="0" w:type="dxa"/>
            <w:bottom w:w="0" w:type="dxa"/>
            <w:right w:w="0" w:type="dxa"/>
          </w:tblCellMar>
        </w:tblPrEx>
        <w:trPr>
          <w:trHeight w:val="375"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61"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年度支出预算</w:t>
            </w:r>
          </w:p>
        </w:tc>
      </w:tr>
      <w:tr>
        <w:tblPrEx>
          <w:tblLayout w:type="fixed"/>
          <w:tblCellMar>
            <w:top w:w="0" w:type="dxa"/>
            <w:left w:w="0" w:type="dxa"/>
            <w:bottom w:w="0" w:type="dxa"/>
            <w:right w:w="0" w:type="dxa"/>
          </w:tblCellMar>
        </w:tblPrEx>
        <w:trPr>
          <w:trHeight w:val="585"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人员经费支出</w:t>
            </w:r>
          </w:p>
        </w:tc>
        <w:tc>
          <w:tcPr>
            <w:tcW w:w="198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正常公用支出</w:t>
            </w:r>
          </w:p>
        </w:tc>
        <w:tc>
          <w:tcPr>
            <w:tcW w:w="168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项目支出</w:t>
            </w:r>
          </w:p>
        </w:tc>
        <w:tc>
          <w:tcPr>
            <w:tcW w:w="236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其它支出</w:t>
            </w:r>
          </w:p>
        </w:tc>
      </w:tr>
      <w:tr>
        <w:tblPrEx>
          <w:tblLayout w:type="fixed"/>
          <w:tblCellMar>
            <w:top w:w="0" w:type="dxa"/>
            <w:left w:w="0" w:type="dxa"/>
            <w:bottom w:w="0" w:type="dxa"/>
            <w:right w:w="0" w:type="dxa"/>
          </w:tblCellMar>
        </w:tblPrEx>
        <w:trPr>
          <w:trHeight w:val="495"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1249.22</w:t>
            </w:r>
          </w:p>
        </w:tc>
        <w:tc>
          <w:tcPr>
            <w:tcW w:w="2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1008.76</w:t>
            </w:r>
          </w:p>
        </w:tc>
        <w:tc>
          <w:tcPr>
            <w:tcW w:w="198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102.46</w:t>
            </w:r>
          </w:p>
        </w:tc>
        <w:tc>
          <w:tcPr>
            <w:tcW w:w="168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124</w:t>
            </w:r>
          </w:p>
        </w:tc>
        <w:tc>
          <w:tcPr>
            <w:tcW w:w="236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3</w:t>
            </w:r>
          </w:p>
        </w:tc>
      </w:tr>
      <w:tr>
        <w:tblPrEx>
          <w:tblLayout w:type="fixed"/>
          <w:tblCellMar>
            <w:top w:w="0" w:type="dxa"/>
            <w:left w:w="0" w:type="dxa"/>
            <w:bottom w:w="0" w:type="dxa"/>
            <w:right w:w="0" w:type="dxa"/>
          </w:tblCellMar>
        </w:tblPrEx>
        <w:trPr>
          <w:trHeight w:val="495" w:hRule="atLeast"/>
          <w:jc w:val="center"/>
        </w:trPr>
        <w:tc>
          <w:tcPr>
            <w:tcW w:w="111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年度整体支出绩效目标</w:t>
            </w:r>
          </w:p>
        </w:tc>
        <w:tc>
          <w:tcPr>
            <w:tcW w:w="9161" w:type="dxa"/>
            <w:gridSpan w:val="10"/>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2020年收支预算内，确保完成以下整体目标：</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搞好基础研究，不断提升农业科技创新能力，为应用技术研究提供支撑，确保农业科研事业可持续发展。通过开展各级重大农业专项研究，结合新技术、新产品的引进集成和中试开发，建立以自研成果为主体的综合农业科技成果展示基地，通过新技术成果的展示和辐射，带动全市的农业技术推广，以支撑和推动全市农业发展。</w:t>
            </w:r>
          </w:p>
        </w:tc>
      </w:tr>
      <w:tr>
        <w:tblPrEx>
          <w:tblLayout w:type="fixed"/>
          <w:tblCellMar>
            <w:top w:w="0" w:type="dxa"/>
            <w:left w:w="0" w:type="dxa"/>
            <w:bottom w:w="0" w:type="dxa"/>
            <w:right w:w="0" w:type="dxa"/>
          </w:tblCellMar>
        </w:tblPrEx>
        <w:trPr>
          <w:trHeight w:val="495"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61" w:type="dxa"/>
            <w:gridSpan w:val="10"/>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pPr>
              <w:jc w:val="left"/>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603"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61" w:type="dxa"/>
            <w:gridSpan w:val="10"/>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pPr>
              <w:jc w:val="left"/>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525" w:hRule="atLeast"/>
          <w:jc w:val="center"/>
        </w:trPr>
        <w:tc>
          <w:tcPr>
            <w:tcW w:w="111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绩效目标设立依据</w:t>
            </w:r>
          </w:p>
        </w:tc>
        <w:tc>
          <w:tcPr>
            <w:tcW w:w="9161" w:type="dxa"/>
            <w:gridSpan w:val="10"/>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《邢台市机构编制委员会办公室关于印发市农业科学研究院机构编制方案的通知》</w:t>
            </w:r>
          </w:p>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rPr>
              <w:t>邢台市农业科学研究院2020年工作思路及“十四五”工作谋划</w:t>
            </w:r>
            <w:r>
              <w:rPr>
                <w:rFonts w:hint="eastAsia" w:ascii="宋体" w:hAnsi="宋体" w:eastAsia="宋体" w:cs="宋体"/>
                <w:i w:val="0"/>
                <w:color w:val="auto"/>
                <w:sz w:val="22"/>
                <w:szCs w:val="22"/>
                <w:u w:val="none"/>
                <w:lang w:eastAsia="zh-CN"/>
              </w:rPr>
              <w:t>》</w:t>
            </w:r>
          </w:p>
        </w:tc>
      </w:tr>
      <w:tr>
        <w:tblPrEx>
          <w:tblLayout w:type="fixed"/>
          <w:tblCellMar>
            <w:top w:w="0" w:type="dxa"/>
            <w:left w:w="0" w:type="dxa"/>
            <w:bottom w:w="0" w:type="dxa"/>
            <w:right w:w="0" w:type="dxa"/>
          </w:tblCellMar>
        </w:tblPrEx>
        <w:trPr>
          <w:trHeight w:val="312"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p>
        </w:tc>
        <w:tc>
          <w:tcPr>
            <w:tcW w:w="9161" w:type="dxa"/>
            <w:gridSpan w:val="10"/>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630" w:hRule="atLeast"/>
          <w:jc w:val="center"/>
        </w:trPr>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年度整体支出目标</w:t>
            </w:r>
          </w:p>
        </w:tc>
        <w:tc>
          <w:tcPr>
            <w:tcW w:w="9161"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搞好基础研究，不断提升农业科技创新能力，为乡村振兴提供科技支撑。开展各级重大农业专项研究，结合新技术、新产品的引进集成和中试开发，建立以自研成果为主体的综合农业科技成果展示基地，通过新技术成果的展示和辐射，带动全市的农业技术推广，以支撑和推动全市农业发展。</w:t>
            </w:r>
          </w:p>
        </w:tc>
      </w:tr>
      <w:tr>
        <w:tblPrEx>
          <w:tblLayout w:type="fixed"/>
          <w:tblCellMar>
            <w:top w:w="0" w:type="dxa"/>
            <w:left w:w="0" w:type="dxa"/>
            <w:bottom w:w="0" w:type="dxa"/>
            <w:right w:w="0" w:type="dxa"/>
          </w:tblCellMar>
        </w:tblPrEx>
        <w:trPr>
          <w:trHeight w:val="330" w:hRule="atLeast"/>
          <w:jc w:val="center"/>
        </w:trPr>
        <w:tc>
          <w:tcPr>
            <w:tcW w:w="111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整体支出绩效指标</w:t>
            </w:r>
          </w:p>
        </w:tc>
        <w:tc>
          <w:tcPr>
            <w:tcW w:w="105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农业科技创新（44万元）</w:t>
            </w:r>
          </w:p>
        </w:tc>
        <w:tc>
          <w:tcPr>
            <w:tcW w:w="91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产出指标</w:t>
            </w: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rPr>
              <w:t>筛选出优良品系</w:t>
            </w:r>
            <w:r>
              <w:rPr>
                <w:rFonts w:hint="eastAsia" w:ascii="宋体" w:hAnsi="宋体" w:eastAsia="宋体" w:cs="宋体"/>
                <w:i w:val="0"/>
                <w:color w:val="auto"/>
                <w:sz w:val="22"/>
                <w:szCs w:val="22"/>
                <w:u w:val="none"/>
                <w:lang w:eastAsia="zh-CN"/>
              </w:rPr>
              <w:t>数量（</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≥3</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default" w:ascii="宋体" w:hAnsi="宋体" w:eastAsia="宋体" w:cs="宋体"/>
                <w:i w:val="0"/>
                <w:color w:val="auto"/>
                <w:sz w:val="22"/>
                <w:szCs w:val="22"/>
                <w:u w:val="none"/>
                <w:lang w:val="en-US" w:eastAsia="zh-CN"/>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rPr>
              <w:t>筛选出优良品种</w:t>
            </w:r>
            <w:r>
              <w:rPr>
                <w:rFonts w:hint="eastAsia" w:ascii="宋体" w:hAnsi="宋体" w:eastAsia="宋体" w:cs="宋体"/>
                <w:i w:val="0"/>
                <w:color w:val="auto"/>
                <w:sz w:val="22"/>
                <w:szCs w:val="22"/>
                <w:u w:val="none"/>
                <w:lang w:eastAsia="zh-CN"/>
              </w:rPr>
              <w:t>数量（</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≥5</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564"/>
              </w:tabs>
              <w:jc w:val="left"/>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lang w:eastAsia="zh-CN"/>
              </w:rPr>
              <w:t>栽培技术完成度（</w:t>
            </w:r>
            <w:r>
              <w:rPr>
                <w:rFonts w:hint="eastAsia" w:ascii="宋体" w:hAnsi="宋体" w:eastAsia="宋体" w:cs="宋体"/>
                <w:i w:val="0"/>
                <w:color w:val="auto"/>
                <w:sz w:val="22"/>
                <w:szCs w:val="22"/>
                <w:u w:val="none"/>
                <w:lang w:val="en-US" w:eastAsia="zh-CN"/>
              </w:rPr>
              <w:t>%</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≥80</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lang w:eastAsia="zh-CN"/>
              </w:rPr>
              <w:t>各类栽培技术完成度</w:t>
            </w: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564"/>
              </w:tabs>
              <w:jc w:val="left"/>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lang w:eastAsia="zh-CN"/>
              </w:rPr>
              <w:t>引进新品种个数（</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≥13</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eastAsia="zh-CN"/>
              </w:rPr>
              <w:t>引进农作物、食用菌新品种个数</w:t>
            </w: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564"/>
              </w:tabs>
              <w:jc w:val="left"/>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lang w:eastAsia="zh-CN"/>
              </w:rPr>
              <w:t>示范推广新品种、新技术数量（项）</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≥8</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564"/>
              </w:tabs>
              <w:jc w:val="left"/>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lang w:eastAsia="zh-CN"/>
              </w:rPr>
              <w:t>建立基地数（</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≥8</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eastAsia="zh-CN"/>
              </w:rPr>
              <w:t>建立小麦、玉米、甘薯、食用菌、酸枣、中草药、花卉等基地数</w:t>
            </w: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564"/>
              </w:tabs>
              <w:jc w:val="left"/>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lang w:eastAsia="zh-CN"/>
              </w:rPr>
              <w:t>推出技术集成应用成果数量（</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≥2</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eastAsia="zh-CN"/>
              </w:rPr>
              <w:t>推出良种良法配套、机械化、病虫草害绿色防控和品牌化生产等技术集成应用成果数量</w:t>
            </w: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564"/>
              </w:tabs>
              <w:jc w:val="left"/>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lang w:eastAsia="zh-CN"/>
              </w:rPr>
              <w:t>开展科技培训、现场观摩、技术交流、成果推介等次数（</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≥6</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564"/>
              </w:tabs>
              <w:jc w:val="left"/>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lang w:eastAsia="zh-CN"/>
              </w:rPr>
              <w:t>印发农业技术培训资料数量（份）</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≥8000</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564"/>
              </w:tabs>
              <w:jc w:val="left"/>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lang w:eastAsia="zh-CN"/>
              </w:rPr>
              <w:t>农业科技下乡培训人次（人）</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≥1000</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9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564"/>
              </w:tabs>
              <w:jc w:val="left"/>
              <w:rPr>
                <w:rFonts w:hint="eastAsia" w:ascii="宋体" w:hAnsi="宋体" w:eastAsia="宋体" w:cs="宋体"/>
                <w:i w:val="0"/>
                <w:color w:val="auto"/>
                <w:sz w:val="22"/>
                <w:szCs w:val="22"/>
                <w:u w:val="none"/>
                <w:lang w:eastAsia="zh-CN"/>
              </w:rPr>
            </w:pPr>
            <w:r>
              <w:rPr>
                <w:rFonts w:hint="eastAsia" w:ascii="宋体" w:hAnsi="宋体" w:eastAsia="宋体" w:cs="宋体"/>
                <w:i w:val="0"/>
                <w:color w:val="auto"/>
                <w:sz w:val="22"/>
                <w:szCs w:val="22"/>
                <w:u w:val="none"/>
                <w:lang w:eastAsia="zh-CN"/>
              </w:rPr>
              <w:t>试验完成率（</w:t>
            </w:r>
            <w:r>
              <w:rPr>
                <w:rFonts w:hint="eastAsia" w:ascii="宋体" w:hAnsi="宋体" w:eastAsia="宋体" w:cs="宋体"/>
                <w:i w:val="0"/>
                <w:color w:val="auto"/>
                <w:sz w:val="22"/>
                <w:szCs w:val="22"/>
                <w:u w:val="none"/>
              </w:rPr>
              <w:t>%</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≥85</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效益指标</w:t>
            </w: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增加</w:t>
            </w:r>
            <w:r>
              <w:rPr>
                <w:rFonts w:hint="eastAsia" w:ascii="宋体" w:hAnsi="宋体" w:eastAsia="宋体" w:cs="宋体"/>
                <w:i w:val="0"/>
                <w:color w:val="auto"/>
                <w:sz w:val="22"/>
                <w:szCs w:val="22"/>
                <w:u w:val="none"/>
                <w:lang w:eastAsia="zh-CN"/>
              </w:rPr>
              <w:t>技术示范户</w:t>
            </w:r>
            <w:r>
              <w:rPr>
                <w:rFonts w:hint="eastAsia" w:ascii="宋体" w:hAnsi="宋体" w:eastAsia="宋体" w:cs="宋体"/>
                <w:i w:val="0"/>
                <w:color w:val="auto"/>
                <w:sz w:val="22"/>
                <w:szCs w:val="22"/>
                <w:u w:val="none"/>
              </w:rPr>
              <w:t>收入</w:t>
            </w: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rPr>
              <w:t>元/亩</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≥800</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增加</w:t>
            </w:r>
            <w:r>
              <w:rPr>
                <w:rFonts w:hint="eastAsia" w:ascii="宋体" w:hAnsi="宋体" w:eastAsia="宋体" w:cs="宋体"/>
                <w:i w:val="0"/>
                <w:color w:val="auto"/>
                <w:sz w:val="22"/>
                <w:szCs w:val="22"/>
                <w:u w:val="none"/>
                <w:lang w:eastAsia="zh-CN"/>
              </w:rPr>
              <w:t>酸枣、中药、花卉技术示范户</w:t>
            </w:r>
            <w:r>
              <w:rPr>
                <w:rFonts w:hint="eastAsia" w:ascii="宋体" w:hAnsi="宋体" w:eastAsia="宋体" w:cs="宋体"/>
                <w:i w:val="0"/>
                <w:color w:val="auto"/>
                <w:sz w:val="22"/>
                <w:szCs w:val="22"/>
                <w:u w:val="none"/>
              </w:rPr>
              <w:t>收入</w:t>
            </w: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持续配制杂交组合</w:t>
            </w: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≥800</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技术带动酸枣示范田</w:t>
            </w: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rPr>
              <w:t>亩</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≥80</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申请国家植物新品种权数量</w:t>
            </w: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≥1个</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通过推广新品种、新技术增收节支，创造社会效益</w:t>
            </w:r>
            <w:r>
              <w:rPr>
                <w:rFonts w:hint="eastAsia" w:ascii="宋体" w:hAnsi="宋体" w:eastAsia="宋体" w:cs="宋体"/>
                <w:i w:val="0"/>
                <w:color w:val="auto"/>
                <w:sz w:val="22"/>
                <w:szCs w:val="22"/>
                <w:u w:val="none"/>
                <w:lang w:eastAsia="zh-CN"/>
              </w:rPr>
              <w:t>（万元）</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≥400万元</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科技核心示范区辐射数</w:t>
            </w:r>
            <w:r>
              <w:rPr>
                <w:rFonts w:hint="eastAsia" w:ascii="宋体" w:hAnsi="宋体" w:eastAsia="宋体" w:cs="宋体"/>
                <w:i w:val="0"/>
                <w:color w:val="auto"/>
                <w:sz w:val="22"/>
                <w:szCs w:val="22"/>
                <w:u w:val="none"/>
                <w:lang w:eastAsia="zh-CN"/>
              </w:rPr>
              <w:t>（万亩）</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≥100万亩</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带动周边产业发展，促进农户增产增收，辐射推广面积</w:t>
            </w:r>
            <w:r>
              <w:rPr>
                <w:rFonts w:hint="eastAsia" w:ascii="宋体" w:hAnsi="宋体" w:eastAsia="宋体" w:cs="宋体"/>
                <w:i w:val="0"/>
                <w:color w:val="auto"/>
                <w:sz w:val="22"/>
                <w:szCs w:val="22"/>
                <w:u w:val="none"/>
                <w:lang w:eastAsia="zh-CN"/>
              </w:rPr>
              <w:t>（万亩）</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≥10万亩</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带动周边小麦、玉米、甘薯、食用菌等产业的发展，促进农户增产增收，辐射推广面积</w:t>
            </w: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总结小麦栽培技术</w:t>
            </w:r>
            <w:r>
              <w:rPr>
                <w:rFonts w:hint="eastAsia" w:ascii="宋体" w:hAnsi="宋体" w:eastAsia="宋体" w:cs="宋体"/>
                <w:i w:val="0"/>
                <w:color w:val="auto"/>
                <w:sz w:val="22"/>
                <w:szCs w:val="22"/>
                <w:u w:val="none"/>
                <w:lang w:eastAsia="zh-CN"/>
              </w:rPr>
              <w:t>（套）</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≥1套</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rPr>
              <w:t>海南基地土地租赁</w:t>
            </w: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lang w:val="en-US" w:eastAsia="zh-CN"/>
              </w:rPr>
              <w:t>80万元）</w:t>
            </w:r>
          </w:p>
        </w:tc>
        <w:tc>
          <w:tcPr>
            <w:tcW w:w="91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产出指标</w:t>
            </w: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提供南繁用地面积</w:t>
            </w:r>
            <w:r>
              <w:rPr>
                <w:rFonts w:hint="eastAsia" w:ascii="宋体" w:hAnsi="宋体" w:eastAsia="宋体" w:cs="宋体"/>
                <w:i w:val="0"/>
                <w:color w:val="auto"/>
                <w:sz w:val="22"/>
                <w:szCs w:val="22"/>
                <w:u w:val="none"/>
                <w:lang w:eastAsia="zh-CN"/>
              </w:rPr>
              <w:t>（亩）</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≥1</w:t>
            </w:r>
            <w:r>
              <w:rPr>
                <w:rFonts w:hint="eastAsia" w:ascii="宋体" w:hAnsi="宋体" w:eastAsia="宋体" w:cs="宋体"/>
                <w:i w:val="0"/>
                <w:color w:val="auto"/>
                <w:sz w:val="22"/>
                <w:szCs w:val="22"/>
                <w:u w:val="none"/>
                <w:lang w:val="en-US" w:eastAsia="zh-CN"/>
              </w:rPr>
              <w:t>17.9</w:t>
            </w:r>
            <w:r>
              <w:rPr>
                <w:rFonts w:hint="eastAsia" w:ascii="宋体" w:hAnsi="宋体" w:eastAsia="宋体" w:cs="宋体"/>
                <w:i w:val="0"/>
                <w:color w:val="auto"/>
                <w:sz w:val="22"/>
                <w:szCs w:val="22"/>
                <w:u w:val="none"/>
              </w:rPr>
              <w:t>亩</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保证海南基地土地正常使用时间</w:t>
            </w:r>
            <w:r>
              <w:rPr>
                <w:rFonts w:hint="eastAsia" w:ascii="宋体" w:hAnsi="宋体" w:eastAsia="宋体" w:cs="宋体"/>
                <w:i w:val="0"/>
                <w:color w:val="auto"/>
                <w:sz w:val="22"/>
                <w:szCs w:val="22"/>
                <w:u w:val="none"/>
                <w:lang w:eastAsia="zh-CN"/>
              </w:rPr>
              <w:t>（年）</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6年</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效益指标</w:t>
            </w: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南繁任务完成率</w:t>
            </w: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lang w:val="en-US" w:eastAsia="zh-CN"/>
              </w:rPr>
              <w:t>%</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≥90%</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加快育种速度，每年可增加新品种</w:t>
            </w:r>
            <w:r>
              <w:rPr>
                <w:rFonts w:hint="eastAsia" w:ascii="宋体" w:hAnsi="宋体" w:eastAsia="宋体" w:cs="宋体"/>
                <w:i w:val="0"/>
                <w:color w:val="auto"/>
                <w:sz w:val="22"/>
                <w:szCs w:val="22"/>
                <w:u w:val="none"/>
                <w:lang w:eastAsia="zh-CN"/>
              </w:rPr>
              <w:t>数量（</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≥2个</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培育的新品种生产应用面积</w:t>
            </w:r>
            <w:r>
              <w:rPr>
                <w:rFonts w:hint="eastAsia" w:ascii="宋体" w:hAnsi="宋体" w:eastAsia="宋体" w:cs="宋体"/>
                <w:i w:val="0"/>
                <w:color w:val="auto"/>
                <w:sz w:val="22"/>
                <w:szCs w:val="22"/>
                <w:u w:val="none"/>
                <w:lang w:eastAsia="zh-CN"/>
              </w:rPr>
              <w:t>（万亩）</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≥40万亩</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rPr>
              <w:t>棉花新品系转基因检测及品比试验</w:t>
            </w:r>
            <w:r>
              <w:rPr>
                <w:rFonts w:hint="eastAsia" w:ascii="宋体" w:hAnsi="宋体" w:eastAsia="宋体" w:cs="宋体"/>
                <w:i w:val="0"/>
                <w:color w:val="auto"/>
                <w:sz w:val="22"/>
                <w:szCs w:val="22"/>
                <w:u w:val="none"/>
                <w:lang w:val="en-US" w:eastAsia="zh-CN"/>
              </w:rPr>
              <w:t>(3万元）</w:t>
            </w:r>
          </w:p>
          <w:p>
            <w:pPr>
              <w:jc w:val="center"/>
              <w:rPr>
                <w:rFonts w:hint="default" w:ascii="宋体" w:hAnsi="宋体" w:eastAsia="宋体" w:cs="宋体"/>
                <w:i w:val="0"/>
                <w:color w:val="auto"/>
                <w:sz w:val="22"/>
                <w:szCs w:val="22"/>
                <w:u w:val="none"/>
                <w:lang w:val="en-US" w:eastAsia="zh-CN"/>
              </w:rPr>
            </w:pPr>
          </w:p>
        </w:tc>
        <w:tc>
          <w:tcPr>
            <w:tcW w:w="91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产出指标</w:t>
            </w: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送检转基因检测新品系</w:t>
            </w: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≥1个</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品比试验参试品系</w:t>
            </w: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≥4个</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rPr>
              <w:t>基因检测及品比试验完成率</w:t>
            </w: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lang w:val="en-US"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≥85%</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效益指标</w:t>
            </w: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新品系较对照增产</w:t>
            </w: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lang w:val="en-US"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≥5%</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为棉农推荐抗虫棉新品系</w:t>
            </w:r>
            <w:r>
              <w:rPr>
                <w:rFonts w:hint="eastAsia" w:ascii="宋体" w:hAnsi="宋体" w:eastAsia="宋体" w:cs="宋体"/>
                <w:i w:val="0"/>
                <w:color w:val="auto"/>
                <w:sz w:val="22"/>
                <w:szCs w:val="22"/>
                <w:u w:val="none"/>
                <w:lang w:eastAsia="zh-CN"/>
              </w:rPr>
              <w:t>（</w:t>
            </w:r>
            <w:r>
              <w:rPr>
                <w:rFonts w:hint="eastAsia" w:ascii="宋体" w:hAnsi="宋体" w:eastAsia="宋体" w:cs="宋体"/>
                <w:i w:val="0"/>
                <w:color w:val="auto"/>
                <w:sz w:val="22"/>
                <w:szCs w:val="22"/>
                <w:u w:val="none"/>
              </w:rPr>
              <w:t>个</w:t>
            </w:r>
            <w:r>
              <w:rPr>
                <w:rFonts w:hint="eastAsia" w:ascii="宋体" w:hAnsi="宋体" w:eastAsia="宋体" w:cs="宋体"/>
                <w:i w:val="0"/>
                <w:color w:val="auto"/>
                <w:sz w:val="22"/>
                <w:szCs w:val="22"/>
                <w:u w:val="none"/>
                <w:lang w:eastAsia="zh-CN"/>
              </w:rPr>
              <w:t>）</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≥1个</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3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12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新品种的增产效应可调动30位棉农应用</w:t>
            </w:r>
            <w:r>
              <w:rPr>
                <w:rFonts w:hint="eastAsia" w:ascii="宋体" w:hAnsi="宋体" w:eastAsia="宋体" w:cs="宋体"/>
                <w:i w:val="0"/>
                <w:color w:val="auto"/>
                <w:sz w:val="22"/>
                <w:szCs w:val="22"/>
                <w:u w:val="none"/>
                <w:lang w:eastAsia="zh-CN"/>
              </w:rPr>
              <w:t>（人）</w:t>
            </w:r>
          </w:p>
        </w:tc>
        <w:tc>
          <w:tcPr>
            <w:tcW w:w="94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w:t>
            </w:r>
            <w:r>
              <w:rPr>
                <w:rFonts w:hint="eastAsia" w:ascii="宋体" w:hAnsi="宋体" w:eastAsia="宋体" w:cs="宋体"/>
                <w:i w:val="0"/>
                <w:color w:val="auto"/>
                <w:sz w:val="22"/>
                <w:szCs w:val="22"/>
                <w:u w:val="none"/>
                <w:lang w:val="en-US" w:eastAsia="zh-CN"/>
              </w:rPr>
              <w:t>3</w:t>
            </w:r>
            <w:r>
              <w:rPr>
                <w:rFonts w:hint="eastAsia" w:ascii="宋体" w:hAnsi="宋体" w:eastAsia="宋体" w:cs="宋体"/>
                <w:i w:val="0"/>
                <w:color w:val="auto"/>
                <w:sz w:val="22"/>
                <w:szCs w:val="22"/>
                <w:u w:val="none"/>
              </w:rPr>
              <w:t>0</w:t>
            </w:r>
          </w:p>
        </w:tc>
        <w:tc>
          <w:tcPr>
            <w:tcW w:w="2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Layout w:type="fixed"/>
          <w:tblCellMar>
            <w:top w:w="0" w:type="dxa"/>
            <w:left w:w="0" w:type="dxa"/>
            <w:bottom w:w="0" w:type="dxa"/>
            <w:right w:w="0" w:type="dxa"/>
          </w:tblCellMar>
        </w:tblPrEx>
        <w:trPr>
          <w:trHeight w:val="375" w:hRule="atLeast"/>
          <w:jc w:val="center"/>
        </w:trPr>
        <w:tc>
          <w:tcPr>
            <w:tcW w:w="111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申报部门意见</w:t>
            </w:r>
          </w:p>
        </w:tc>
        <w:tc>
          <w:tcPr>
            <w:tcW w:w="435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申报单位意见</w:t>
            </w:r>
          </w:p>
        </w:tc>
        <w:tc>
          <w:tcPr>
            <w:tcW w:w="4811"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主管部门审核意见</w:t>
            </w:r>
          </w:p>
        </w:tc>
      </w:tr>
      <w:tr>
        <w:tblPrEx>
          <w:tblLayout w:type="fixed"/>
          <w:tblCellMar>
            <w:top w:w="0" w:type="dxa"/>
            <w:left w:w="0" w:type="dxa"/>
            <w:bottom w:w="0" w:type="dxa"/>
            <w:right w:w="0" w:type="dxa"/>
          </w:tblCellMar>
        </w:tblPrEx>
        <w:trPr>
          <w:trHeight w:val="945"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350" w:type="dxa"/>
            <w:gridSpan w:val="5"/>
            <w:tcBorders>
              <w:top w:val="single" w:color="000000" w:sz="4" w:space="0"/>
              <w:left w:val="nil"/>
              <w:bottom w:val="nil"/>
              <w:right w:val="nil"/>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单位负责人（签章）：      年  月  日</w:t>
            </w:r>
          </w:p>
        </w:tc>
        <w:tc>
          <w:tcPr>
            <w:tcW w:w="4811" w:type="dxa"/>
            <w:gridSpan w:val="5"/>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主管部门公章        年   月   日</w:t>
            </w:r>
          </w:p>
        </w:tc>
      </w:tr>
      <w:tr>
        <w:tblPrEx>
          <w:tblLayout w:type="fixed"/>
          <w:tblCellMar>
            <w:top w:w="0" w:type="dxa"/>
            <w:left w:w="0" w:type="dxa"/>
            <w:bottom w:w="0" w:type="dxa"/>
            <w:right w:w="0" w:type="dxa"/>
          </w:tblCellMar>
        </w:tblPrEx>
        <w:trPr>
          <w:trHeight w:val="480" w:hRule="atLeast"/>
          <w:jc w:val="center"/>
        </w:trPr>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2"/>
                <w:szCs w:val="22"/>
                <w:u w:val="none"/>
              </w:rPr>
            </w:pPr>
          </w:p>
        </w:tc>
        <w:tc>
          <w:tcPr>
            <w:tcW w:w="4350" w:type="dxa"/>
            <w:gridSpan w:val="5"/>
            <w:tcBorders>
              <w:top w:val="nil"/>
              <w:left w:val="nil"/>
              <w:bottom w:val="single" w:color="000000" w:sz="4" w:space="0"/>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 xml:space="preserve">经办人：       电话：  </w:t>
            </w:r>
          </w:p>
        </w:tc>
        <w:tc>
          <w:tcPr>
            <w:tcW w:w="4811" w:type="dxa"/>
            <w:gridSpan w:val="5"/>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jc w:val="left"/>
              <w:rPr>
                <w:rFonts w:hint="eastAsia" w:ascii="宋体" w:hAnsi="宋体" w:eastAsia="宋体" w:cs="宋体"/>
                <w:i w:val="0"/>
                <w:color w:val="auto"/>
                <w:sz w:val="22"/>
                <w:szCs w:val="22"/>
                <w:u w:val="none"/>
              </w:rPr>
            </w:pPr>
          </w:p>
        </w:tc>
      </w:tr>
    </w:tbl>
    <w:p>
      <w:pPr>
        <w:keepNext w:val="0"/>
        <w:keepLines w:val="0"/>
        <w:pageBreakBefore w:val="0"/>
        <w:kinsoku/>
        <w:wordWrap/>
        <w:overflowPunct/>
        <w:topLinePunct w:val="0"/>
        <w:autoSpaceDE/>
        <w:autoSpaceDN/>
        <w:bidi w:val="0"/>
        <w:adjustRightInd/>
        <w:snapToGrid w:val="0"/>
        <w:spacing w:before="0" w:beforeLines="0" w:after="0" w:afterLines="0" w:line="560" w:lineRule="exact"/>
        <w:ind w:right="0" w:rightChars="0" w:firstLine="640" w:firstLineChars="200"/>
        <w:textAlignment w:val="auto"/>
        <w:rPr>
          <w:rFonts w:hint="eastAsia" w:ascii="仿宋" w:hAnsi="仿宋" w:eastAsia="仿宋" w:cs="仿宋"/>
          <w:b w:val="0"/>
          <w:bCs w:val="0"/>
          <w:color w:val="auto"/>
          <w:kern w:val="2"/>
          <w:sz w:val="32"/>
          <w:szCs w:val="32"/>
          <w:lang w:val="en-US" w:eastAsia="zh-CN"/>
        </w:rPr>
        <w:sectPr>
          <w:footerReference r:id="rId3" w:type="default"/>
          <w:footerReference r:id="rId4" w:type="even"/>
          <w:pgSz w:w="11906" w:h="16838"/>
          <w:pgMar w:top="1985" w:right="1418" w:bottom="1985" w:left="1418" w:header="851" w:footer="1701" w:gutter="0"/>
          <w:cols w:space="425" w:num="1"/>
          <w:docGrid w:type="lines" w:linePitch="313" w:charSpace="0"/>
        </w:sectPr>
      </w:pPr>
    </w:p>
    <w:p>
      <w:pPr>
        <w:keepNext w:val="0"/>
        <w:keepLines w:val="0"/>
        <w:pageBreakBefore w:val="0"/>
        <w:numPr>
          <w:ilvl w:val="0"/>
          <w:numId w:val="0"/>
        </w:numPr>
        <w:kinsoku/>
        <w:wordWrap/>
        <w:overflowPunct/>
        <w:topLinePunct w:val="0"/>
        <w:bidi w:val="0"/>
        <w:adjustRightIn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（六）工作任务</w:t>
      </w:r>
    </w:p>
    <w:p>
      <w:pPr>
        <w:keepNext w:val="0"/>
        <w:keepLines w:val="0"/>
        <w:pageBreakBefore w:val="0"/>
        <w:kinsoku/>
        <w:wordWrap/>
        <w:overflowPunct/>
        <w:topLinePunct w:val="0"/>
        <w:bidi w:val="0"/>
        <w:adjustRightInd/>
        <w:spacing w:line="560" w:lineRule="exact"/>
        <w:ind w:firstLine="720" w:firstLineChars="225"/>
        <w:textAlignment w:val="auto"/>
        <w:rPr>
          <w:rFonts w:hint="eastAsia" w:ascii="仿宋" w:hAnsi="仿宋" w:eastAsia="仿宋" w:cs="仿宋"/>
          <w:sz w:val="32"/>
          <w:szCs w:val="32"/>
        </w:rPr>
      </w:pPr>
      <w:r>
        <w:rPr>
          <w:rFonts w:hint="eastAsia" w:ascii="仿宋" w:hAnsi="仿宋" w:eastAsia="仿宋" w:cs="仿宋"/>
          <w:sz w:val="32"/>
          <w:szCs w:val="32"/>
        </w:rPr>
        <w:t>围绕全市农业发展目标和技术需求，开展农业科技创新，研发新品种、新技术。搞好基础研究，为应用技术研究提供支撑，为农业科技研究提供装备技术和人才支撑。通过开展各级重大农业专项研究，结合新技术、新产品的引进集成和中试开发，建立以自研成果为主体的综合农业科技成果展示基地；通过新技术成果的展示和辐射，带动全市的农业行业技术推广，以支撑和推动全市农业发展。通过新技术、新产品的转化和产业化，改善农业种养结构，提高农产品产量和质量；通过新技术、新产品的示范和推广，提高农业生产的效率和效益；通过科技下乡活动，提高农业种植、养殖科技水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（七）预算资金安排及资金支出情况</w:t>
      </w:r>
    </w:p>
    <w:p>
      <w:pPr>
        <w:keepNext w:val="0"/>
        <w:keepLines w:val="0"/>
        <w:pageBreakBefore w:val="0"/>
        <w:kinsoku/>
        <w:wordWrap/>
        <w:overflowPunct/>
        <w:topLinePunct w:val="0"/>
        <w:bidi w:val="0"/>
        <w:adjustRightInd/>
        <w:spacing w:line="56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rPr>
        <w:t>收入支出预算执行情况</w:t>
      </w:r>
    </w:p>
    <w:p>
      <w:pPr>
        <w:keepNext w:val="0"/>
        <w:keepLines w:val="0"/>
        <w:pageBreakBefore w:val="0"/>
        <w:kinsoku/>
        <w:wordWrap/>
        <w:overflowPunct/>
        <w:topLinePunct w:val="0"/>
        <w:bidi w:val="0"/>
        <w:adjustRightInd/>
        <w:spacing w:line="560" w:lineRule="exact"/>
        <w:ind w:firstLine="66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1</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收入支出与预算对比分析</w:t>
      </w:r>
    </w:p>
    <w:p>
      <w:pPr>
        <w:keepNext w:val="0"/>
        <w:keepLines w:val="0"/>
        <w:pageBreakBefore w:val="0"/>
        <w:kinsoku/>
        <w:wordWrap/>
        <w:overflowPunct/>
        <w:topLinePunct w:val="0"/>
        <w:bidi w:val="0"/>
        <w:adjustRightInd/>
        <w:spacing w:line="560" w:lineRule="exact"/>
        <w:ind w:firstLine="627" w:firstLineChars="196"/>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2020年预算安排收入12472200元，一般公共预算财政拨款实际收入13124575.62元，年末一般公共预算财政拨款支出13063622.08元，上年财政拨款结转结余68619元，全部为省级项目经费。实际比预算增长5.2%，2020年人员项目经费等原因，形成收入增加。</w:t>
      </w:r>
    </w:p>
    <w:p>
      <w:pPr>
        <w:keepNext w:val="0"/>
        <w:keepLines w:val="0"/>
        <w:pageBreakBefore w:val="0"/>
        <w:kinsoku/>
        <w:wordWrap/>
        <w:overflowPunct/>
        <w:topLinePunct w:val="0"/>
        <w:bidi w:val="0"/>
        <w:adjustRightInd/>
        <w:spacing w:line="560" w:lineRule="exact"/>
        <w:ind w:firstLine="66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2</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收入支出结构分析</w:t>
      </w:r>
    </w:p>
    <w:p>
      <w:pPr>
        <w:keepNext w:val="0"/>
        <w:keepLines w:val="0"/>
        <w:pageBreakBefore w:val="0"/>
        <w:kinsoku/>
        <w:wordWrap/>
        <w:overflowPunct/>
        <w:topLinePunct w:val="0"/>
        <w:bidi w:val="0"/>
        <w:adjustRightInd/>
        <w:spacing w:line="560" w:lineRule="exact"/>
        <w:ind w:firstLine="640" w:firstLineChars="200"/>
        <w:textAlignment w:val="auto"/>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2020年总收入15078164.22元，其中，一般公共预算财政拨款收入13124575.62元，其他收入1953588.6元，一般公共预算财政拨款收入占总收入87.04%，其他收入占总收入12.96%。</w:t>
      </w:r>
    </w:p>
    <w:p>
      <w:pPr>
        <w:keepNext w:val="0"/>
        <w:keepLines w:val="0"/>
        <w:pageBreakBefore w:val="0"/>
        <w:kinsoku/>
        <w:wordWrap/>
        <w:overflowPunct/>
        <w:topLinePunct w:val="0"/>
        <w:bidi w:val="0"/>
        <w:adjustRightInd/>
        <w:spacing w:line="56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3</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支出按经济分类科目分析</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spacing w:line="560" w:lineRule="exact"/>
        <w:ind w:firstLine="56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eastAsia="zh-CN"/>
        </w:rPr>
        <w:t>①</w:t>
      </w:r>
      <w:r>
        <w:rPr>
          <w:rFonts w:hint="eastAsia" w:ascii="仿宋" w:hAnsi="仿宋" w:eastAsia="仿宋" w:cs="仿宋"/>
          <w:b w:val="0"/>
          <w:bCs/>
          <w:sz w:val="32"/>
          <w:szCs w:val="32"/>
        </w:rPr>
        <w:t>“三公经费”支出情况：</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spacing w:line="560" w:lineRule="exact"/>
        <w:ind w:firstLine="56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20</w:t>
      </w:r>
      <w:r>
        <w:rPr>
          <w:rFonts w:hint="eastAsia" w:ascii="仿宋" w:hAnsi="仿宋" w:eastAsia="仿宋" w:cs="仿宋"/>
          <w:b w:val="0"/>
          <w:bCs/>
          <w:sz w:val="32"/>
          <w:szCs w:val="32"/>
          <w:lang w:val="en-US" w:eastAsia="zh-CN"/>
        </w:rPr>
        <w:t>20</w:t>
      </w:r>
      <w:r>
        <w:rPr>
          <w:rFonts w:hint="eastAsia" w:ascii="仿宋" w:hAnsi="仿宋" w:eastAsia="仿宋" w:cs="仿宋"/>
          <w:b w:val="0"/>
          <w:bCs/>
          <w:sz w:val="32"/>
          <w:szCs w:val="32"/>
        </w:rPr>
        <w:t>年度我单位无“因公出国（境）费”经费支出。</w:t>
      </w:r>
    </w:p>
    <w:p>
      <w:pPr>
        <w:keepNext w:val="0"/>
        <w:keepLines w:val="0"/>
        <w:pageBreakBefore w:val="0"/>
        <w:kinsoku/>
        <w:wordWrap/>
        <w:overflowPunct/>
        <w:topLinePunct w:val="0"/>
        <w:bidi w:val="0"/>
        <w:adjustRightInd/>
        <w:spacing w:line="56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kern w:val="0"/>
          <w:sz w:val="32"/>
          <w:szCs w:val="32"/>
          <w:lang w:eastAsia="zh-CN"/>
        </w:rPr>
        <w:t>②</w:t>
      </w:r>
      <w:r>
        <w:rPr>
          <w:rFonts w:hint="eastAsia" w:ascii="仿宋" w:hAnsi="仿宋" w:eastAsia="仿宋" w:cs="仿宋"/>
          <w:b w:val="0"/>
          <w:bCs/>
          <w:kern w:val="0"/>
          <w:sz w:val="32"/>
          <w:szCs w:val="32"/>
        </w:rPr>
        <w:t>公务用车运行维护费</w:t>
      </w:r>
      <w:r>
        <w:rPr>
          <w:rFonts w:hint="eastAsia" w:ascii="仿宋" w:hAnsi="仿宋" w:eastAsia="仿宋" w:cs="仿宋"/>
          <w:b w:val="0"/>
          <w:bCs/>
          <w:sz w:val="32"/>
          <w:szCs w:val="32"/>
        </w:rPr>
        <w:t xml:space="preserve">支出情况：本年度公务用车运行维护费37930.91元，比上年减少4.86%，主要是严格控制公务用车运行维护费，合理安排车辆，最大限度压缩行车路程，并妥善使用旧车辆，避免高额维修（护）费； </w:t>
      </w:r>
    </w:p>
    <w:p>
      <w:pPr>
        <w:keepNext w:val="0"/>
        <w:keepLines w:val="0"/>
        <w:pageBreakBefore w:val="0"/>
        <w:kinsoku/>
        <w:wordWrap/>
        <w:overflowPunct/>
        <w:topLinePunct w:val="0"/>
        <w:bidi w:val="0"/>
        <w:adjustRightInd/>
        <w:spacing w:line="560" w:lineRule="exact"/>
        <w:ind w:firstLine="640" w:firstLineChars="200"/>
        <w:textAlignment w:val="auto"/>
        <w:rPr>
          <w:rFonts w:hint="eastAsia" w:ascii="仿宋" w:hAnsi="仿宋" w:eastAsia="仿宋" w:cs="仿宋"/>
          <w:b w:val="0"/>
          <w:bCs/>
          <w:color w:val="000000"/>
          <w:sz w:val="32"/>
          <w:szCs w:val="32"/>
        </w:rPr>
      </w:pPr>
      <w:r>
        <w:rPr>
          <w:rFonts w:hint="eastAsia" w:ascii="仿宋" w:hAnsi="仿宋" w:eastAsia="仿宋" w:cs="仿宋"/>
          <w:b w:val="0"/>
          <w:bCs/>
          <w:kern w:val="0"/>
          <w:sz w:val="32"/>
          <w:szCs w:val="32"/>
          <w:lang w:eastAsia="zh-CN"/>
        </w:rPr>
        <w:t>③</w:t>
      </w:r>
      <w:r>
        <w:rPr>
          <w:rFonts w:hint="eastAsia" w:ascii="仿宋" w:hAnsi="仿宋" w:eastAsia="仿宋" w:cs="仿宋"/>
          <w:b w:val="0"/>
          <w:bCs/>
          <w:kern w:val="0"/>
          <w:sz w:val="32"/>
          <w:szCs w:val="32"/>
        </w:rPr>
        <w:t>公务接待费</w:t>
      </w:r>
      <w:r>
        <w:rPr>
          <w:rFonts w:hint="eastAsia" w:ascii="仿宋" w:hAnsi="仿宋" w:eastAsia="仿宋" w:cs="仿宋"/>
          <w:b w:val="0"/>
          <w:bCs/>
          <w:sz w:val="32"/>
          <w:szCs w:val="32"/>
        </w:rPr>
        <w:t>支出情况：本年度</w:t>
      </w:r>
      <w:r>
        <w:rPr>
          <w:rFonts w:hint="eastAsia" w:ascii="仿宋" w:hAnsi="仿宋" w:eastAsia="仿宋" w:cs="仿宋"/>
          <w:b w:val="0"/>
          <w:bCs/>
          <w:color w:val="000000"/>
          <w:sz w:val="32"/>
          <w:szCs w:val="32"/>
        </w:rPr>
        <w:t>公务接待费</w:t>
      </w:r>
      <w:r>
        <w:rPr>
          <w:rFonts w:hint="eastAsia" w:ascii="仿宋" w:hAnsi="仿宋" w:eastAsia="仿宋" w:cs="仿宋"/>
          <w:b w:val="0"/>
          <w:bCs/>
          <w:sz w:val="32"/>
          <w:szCs w:val="32"/>
        </w:rPr>
        <w:t>支出</w:t>
      </w:r>
      <w:r>
        <w:rPr>
          <w:rFonts w:hint="eastAsia" w:ascii="仿宋" w:hAnsi="仿宋" w:eastAsia="仿宋" w:cs="仿宋"/>
          <w:b w:val="0"/>
          <w:bCs/>
          <w:sz w:val="32"/>
          <w:szCs w:val="32"/>
          <w:lang w:val="en-US" w:eastAsia="zh-CN"/>
        </w:rPr>
        <w:t>0</w:t>
      </w:r>
      <w:r>
        <w:rPr>
          <w:rFonts w:hint="eastAsia" w:ascii="仿宋" w:hAnsi="仿宋" w:eastAsia="仿宋" w:cs="仿宋"/>
          <w:b w:val="0"/>
          <w:bCs/>
          <w:sz w:val="32"/>
          <w:szCs w:val="32"/>
        </w:rPr>
        <w:t>元，</w:t>
      </w:r>
      <w:r>
        <w:rPr>
          <w:rFonts w:hint="eastAsia" w:ascii="仿宋" w:hAnsi="仿宋" w:eastAsia="仿宋" w:cs="仿宋"/>
          <w:b w:val="0"/>
          <w:bCs/>
          <w:color w:val="000000"/>
          <w:sz w:val="32"/>
          <w:szCs w:val="32"/>
        </w:rPr>
        <w:t>公务接待费，和上年相比无变化，主要原因是注重节支。</w:t>
      </w:r>
    </w:p>
    <w:p>
      <w:pPr>
        <w:keepNext w:val="0"/>
        <w:keepLines w:val="0"/>
        <w:pageBreakBefore w:val="0"/>
        <w:kinsoku/>
        <w:wordWrap/>
        <w:overflowPunct/>
        <w:topLinePunct w:val="0"/>
        <w:bidi w:val="0"/>
        <w:adjustRightInd/>
        <w:spacing w:line="560" w:lineRule="exact"/>
        <w:ind w:firstLine="66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4</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财政拨款收入、支出分析</w:t>
      </w:r>
    </w:p>
    <w:p>
      <w:pPr>
        <w:keepNext w:val="0"/>
        <w:keepLines w:val="0"/>
        <w:pageBreakBefore w:val="0"/>
        <w:kinsoku/>
        <w:wordWrap/>
        <w:overflowPunct/>
        <w:topLinePunct w:val="0"/>
        <w:bidi w:val="0"/>
        <w:adjustRightInd/>
        <w:spacing w:line="560" w:lineRule="exact"/>
        <w:ind w:firstLine="64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2020年财政拨款收入13124575.62元，财政拨款支出为13063622.08元，其中基本支出11647958.52元（人员经费支出10295807.51元，占比 88.39 %；日常公用经费1352151.01元，占比 11.61 %），占总支出85.97%；项目支出1415663.56元（具体为2019年度结转项目经费68619元和2020年度项目经费1347044.56元），占总支10.84%，因此，在总支出中基本支出占比最大，在基本支出中人员经费占比最大，人员开支为单位主要支出项目。</w:t>
      </w:r>
    </w:p>
    <w:p>
      <w:pPr>
        <w:keepNext w:val="0"/>
        <w:keepLines w:val="0"/>
        <w:pageBreakBefore w:val="0"/>
        <w:kinsoku/>
        <w:wordWrap/>
        <w:overflowPunct/>
        <w:topLinePunct w:val="0"/>
        <w:bidi w:val="0"/>
        <w:adjustRightInd/>
        <w:spacing w:line="560" w:lineRule="exact"/>
        <w:ind w:firstLine="64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5</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年末结转和结余情况</w:t>
      </w:r>
    </w:p>
    <w:p>
      <w:pPr>
        <w:keepNext w:val="0"/>
        <w:keepLines w:val="0"/>
        <w:pageBreakBefore w:val="0"/>
        <w:kinsoku/>
        <w:wordWrap/>
        <w:overflowPunct/>
        <w:topLinePunct w:val="0"/>
        <w:bidi w:val="0"/>
        <w:adjustRightInd/>
        <w:spacing w:line="560" w:lineRule="exact"/>
        <w:ind w:firstLine="64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2020年年末财政补助结转结余129572.54元，全部为中央和省级项目经费，预计2020年继续用于省级科技项目相关工作的支出。</w:t>
      </w:r>
    </w:p>
    <w:p>
      <w:pPr>
        <w:keepNext w:val="0"/>
        <w:keepLines w:val="0"/>
        <w:pageBreakBefore w:val="0"/>
        <w:numPr>
          <w:ilvl w:val="0"/>
          <w:numId w:val="2"/>
        </w:numPr>
        <w:kinsoku/>
        <w:wordWrap/>
        <w:overflowPunct/>
        <w:topLinePunct w:val="0"/>
        <w:bidi w:val="0"/>
        <w:adjustRightIn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预算绩效管理开展及整体绩效实现情况</w:t>
      </w:r>
    </w:p>
    <w:p>
      <w:pPr>
        <w:keepNext w:val="0"/>
        <w:keepLines w:val="0"/>
        <w:pageBreakBefore w:val="0"/>
        <w:numPr>
          <w:ilvl w:val="0"/>
          <w:numId w:val="3"/>
        </w:numPr>
        <w:kinsoku/>
        <w:wordWrap/>
        <w:overflowPunct/>
        <w:topLinePunct w:val="0"/>
        <w:bidi w:val="0"/>
        <w:adjustRightIn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部门开展预算绩效管理情况</w:t>
      </w:r>
    </w:p>
    <w:p>
      <w:pPr>
        <w:keepNext w:val="0"/>
        <w:keepLines w:val="0"/>
        <w:pageBreakBefore w:val="0"/>
        <w:numPr>
          <w:ilvl w:val="0"/>
          <w:numId w:val="0"/>
        </w:numPr>
        <w:kinsoku/>
        <w:wordWrap/>
        <w:overflowPunct/>
        <w:topLinePunct w:val="0"/>
        <w:bidi w:val="0"/>
        <w:adjustRightInd/>
        <w:spacing w:line="560" w:lineRule="exact"/>
        <w:ind w:firstLine="640" w:firstLineChars="200"/>
        <w:textAlignment w:val="auto"/>
        <w:rPr>
          <w:rFonts w:hint="eastAsia" w:ascii="仿宋" w:hAnsi="仿宋" w:eastAsia="仿宋" w:cs="仿宋"/>
          <w:kern w:val="2"/>
          <w:sz w:val="32"/>
          <w:szCs w:val="32"/>
          <w:lang w:val="en-US" w:eastAsia="zh-CN" w:bidi="ar"/>
        </w:rPr>
      </w:pPr>
      <w:r>
        <w:rPr>
          <w:rFonts w:hint="eastAsia" w:ascii="仿宋" w:hAnsi="仿宋" w:eastAsia="仿宋" w:cs="仿宋"/>
          <w:sz w:val="32"/>
          <w:szCs w:val="32"/>
          <w:lang w:eastAsia="zh-CN"/>
        </w:rPr>
        <w:t>我</w:t>
      </w:r>
      <w:r>
        <w:rPr>
          <w:rFonts w:hint="eastAsia" w:ascii="仿宋" w:hAnsi="仿宋" w:eastAsia="仿宋" w:cs="仿宋"/>
          <w:sz w:val="32"/>
          <w:szCs w:val="32"/>
        </w:rPr>
        <w:t>院成立</w:t>
      </w:r>
      <w:r>
        <w:rPr>
          <w:rFonts w:hint="eastAsia" w:ascii="仿宋" w:hAnsi="仿宋" w:eastAsia="仿宋" w:cs="仿宋"/>
          <w:sz w:val="32"/>
          <w:szCs w:val="32"/>
          <w:lang w:eastAsia="zh-CN"/>
        </w:rPr>
        <w:t>预算绩效管理</w:t>
      </w:r>
      <w:r>
        <w:rPr>
          <w:rFonts w:hint="eastAsia" w:ascii="仿宋" w:hAnsi="仿宋" w:eastAsia="仿宋" w:cs="仿宋"/>
          <w:sz w:val="32"/>
          <w:szCs w:val="32"/>
        </w:rPr>
        <w:t>领导小组,</w:t>
      </w:r>
      <w:r>
        <w:rPr>
          <w:rFonts w:hint="eastAsia" w:ascii="仿宋" w:hAnsi="仿宋" w:eastAsia="仿宋" w:cs="仿宋"/>
          <w:sz w:val="32"/>
          <w:szCs w:val="32"/>
          <w:lang w:eastAsia="zh-CN"/>
        </w:rPr>
        <w:t>印发了</w:t>
      </w:r>
      <w:r>
        <w:rPr>
          <w:rFonts w:hint="eastAsia" w:ascii="仿宋" w:hAnsi="仿宋" w:eastAsia="仿宋" w:cs="仿宋"/>
          <w:sz w:val="32"/>
          <w:szCs w:val="32"/>
        </w:rPr>
        <w:t>《预算绩效管理实施方案》</w:t>
      </w:r>
      <w:r>
        <w:rPr>
          <w:rFonts w:hint="eastAsia" w:ascii="仿宋" w:hAnsi="仿宋" w:eastAsia="仿宋" w:cs="仿宋"/>
          <w:sz w:val="32"/>
          <w:szCs w:val="32"/>
          <w:lang w:eastAsia="zh-CN"/>
        </w:rPr>
        <w:t>，严格按照财政要求，</w:t>
      </w:r>
      <w:r>
        <w:rPr>
          <w:rFonts w:hint="eastAsia" w:ascii="仿宋" w:hAnsi="仿宋" w:eastAsia="仿宋" w:cs="仿宋"/>
          <w:sz w:val="32"/>
          <w:szCs w:val="32"/>
        </w:rPr>
        <w:t>按照相关规定对项目实施和资金使用进行监管</w:t>
      </w:r>
      <w:r>
        <w:rPr>
          <w:rFonts w:hint="eastAsia" w:ascii="仿宋" w:hAnsi="仿宋" w:eastAsia="仿宋" w:cs="仿宋"/>
          <w:sz w:val="32"/>
          <w:szCs w:val="32"/>
          <w:lang w:eastAsia="zh-CN"/>
        </w:rPr>
        <w:t>，课题组</w:t>
      </w:r>
      <w:r>
        <w:rPr>
          <w:rFonts w:hint="eastAsia" w:ascii="仿宋" w:hAnsi="仿宋" w:eastAsia="仿宋" w:cs="仿宋"/>
          <w:sz w:val="32"/>
          <w:szCs w:val="32"/>
        </w:rPr>
        <w:t>成立项目实施小组,具体负责项目的实施方案制定、示范地点落实、配套栽培技术的实施、试验数据调查等工作，为项目的顺利实施提供保障</w:t>
      </w:r>
      <w:r>
        <w:rPr>
          <w:rFonts w:hint="eastAsia" w:ascii="仿宋" w:hAnsi="仿宋" w:eastAsia="仿宋" w:cs="仿宋"/>
          <w:sz w:val="32"/>
          <w:szCs w:val="32"/>
          <w:lang w:eastAsia="zh-CN"/>
        </w:rPr>
        <w:t>，顺利完成项目绩效目标。</w:t>
      </w:r>
    </w:p>
    <w:p>
      <w:pPr>
        <w:keepNext w:val="0"/>
        <w:keepLines w:val="0"/>
        <w:pageBreakBefore w:val="0"/>
        <w:numPr>
          <w:ilvl w:val="0"/>
          <w:numId w:val="3"/>
        </w:numPr>
        <w:kinsoku/>
        <w:wordWrap/>
        <w:overflowPunct/>
        <w:topLinePunct w:val="0"/>
        <w:bidi w:val="0"/>
        <w:adjustRightIn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工作履行活动完成情况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瞄准标杆，创新能力稳步提升。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一是玉米育种。新育成的邢玉282玉米通过了河北省初审。邢玉381玉米杂交种获得国家植物新品种授权。“十三五”期间我院共育成玉米新品种6个，这些新品种以耐旱抗病、籽粒脱水快，抗逆性强等为代表的特性，正在引领和推动玉米产业的升级换代，产生了显著的社会效益和经济效益。玉米育种创新团队荣获了“邢台市优秀科技创新团队”、“邢台市工人先锋号”等荣誉称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二是小麦育种。选育的邢麦26、29、33等5个优良品系分别参加国家、省、小麦体系和联合体试验，表现良好，有望通过审定。“十三五”期间，我院先后育成的高产稳产小麦邢麦13通过国省“双审”；航天诱变育种高产早熟小麦邢麦18通过河北省审定。先后承担了国家试验站、国家重点研发计划“七大农作物育种”重点专项主要农作物染色体细胞工程育种和黄淮冬麦区北片高产优质节水小麦新品种培育等项目，每年在全市建立10个高产示范基地，示范面积1万亩，示范带动全市小麦连年增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三是花生育种。去年以来，先后育了邢花6号、邢花7号、邢花9号和邢花10号等4个省级登记品种。邢花系列新品种以其口感好、品质好、抗性好、宜机收等优点为群众所喜爱。</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四是新兴学科。围绕邢台市农业产业需求，积极拓宽研究领域，调整科研方向，目前研究范围遍及粮、棉、油、菜、林、果、花、草、药等领域。新上高产、多抗型酸枣优良品系的选育与配套栽培、中药材栽培模式研究、甘薯脱毒技术研究与示范等研究课题，研发了一批生产技术模式，形成技术标准和技术规程，为全市现代农业发展提供强力支撑。参加的河北省渤海粮仓工程项目有望获河北省科技进步一等奖。联合相关高校和企业参与共建河北省（邢台）羊肚菌产业技术研究院，建设服务农民的羊肚菌产业技术服务平台，促进产学研深度融合，加强羊肚菌产业人才培养，立足邢台、服务冀中南、引领带动河北省食用菌产业高质量发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倾心为农，科技服务迈向深入。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一是建基地。以实施乡村振兴战略为统领，依托国家试验站、国家重点研发计划、冀南油料、邢邯水果综合试验推广站等重大项目的实施，加强与地方政府结合，重点面向新型经营主体、龙头企业、农业园区和特色农产品优势区开展服务，打造亮点示范基地，提升辐射带动能力。在全市不同生态类型区建设各类高标准试验示范基地20多个，展示推广30多个新品种及配套技术，辐射带动30多万亩，有效解决了农业科技推广的“最后一公里”问题。冀南油料站联合中国农科院油料所、金沙河公司共建万亩油菜、油葵“旅油基地”，发展“现代农业+旅游”产业，助力美丽乡村建设，促进了特色油料多功能高值化利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二是抓培训。国家小麦产业技术体系2020年一二三产业融合发展模式现场考察会在我市召开，对金沙河集团红薯岭基地9个点位进行了考察，70余名专家参加了考察和交流并给予了高度的评价。同时，发挥自身优势，围绕全市产业需求，召开玉米、水果、酸枣、中药材、甘薯、谷子、食用菌等现场技术培训会，累计培训农民和基层农技人员万余人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三是搞服务。选派34名科技特派员，分赴全市10个贫困县开展科技扶贫，进行一对一的技术帮扶和产业扶持。今年疫情防控期间，组织科技专家通过线上线下相结合，调查苗情，测量墒情，研判会商，把脉问诊，及时提出提出了我市春耕夏播农业生产技术指导意见，涉及小麦、蔬菜、果树春季管理及玉米、棉花、花生备播等10部分内容，通过机关网站、微信群等媒体向社会发布，并编印发放宣传手册3000余份。组织录制电视片和抖音小视频，在网络平台播放，为全市农业生产提供了科技支撑。</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强化管理，全院步入良性发展轨道。</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一是加强党的建设。研究制定了2020年党建工作要点、“三创四建”实施方案，深入推进“志愿服务”“联创共建”等工作。深入落实党组理论中心组、“三会一课”“周一夜学”等学习制度，开展集中学习60余次，进一步浓厚学习氛围。开展干部作风纪律整治活动，驰而不息纠正“四风”，深入推进党风廉政教育，引导干部职工崇廉尚廉、向上向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二是加强综合管理。抓改革，促管理，以制度建设、服务管理、严明纪律为核心的综合管理工作，进一步增强了大家的法治观念、规矩意识，全院工作管理更规范、责任更明晰、执行更高效、作风更务实。落实成果转化优惠政策，完善奖励激励机制，修改完善了成果转化办法，明确转化收益用于奖励成果完成人和为成果转化作出贡献的人员，今年来成功完成了6个品种的使用权转让，激发科研人员干事创业热情。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三是优化人才队伍结构。科技人才是“三农”的生力军，是农业科技事业的未来和希望。大力推进青年领军人才培育，鼓励青年科技人员申报主持重大课题，筹措经费近百万元让青年人才主持，大量青年才俊聚集在创新一线，为科技事业快速发展提供了宝贵的人力资源财富。用足用活政策，积极协调人事等部门，争取了中初级统筹使用政策，完成了12名青年专业技术人员的晋职晋档，今年又推荐8名青年骨干申报评审副高级职称，点燃干事创业激情。</w:t>
      </w:r>
    </w:p>
    <w:p>
      <w:pPr>
        <w:keepNext w:val="0"/>
        <w:keepLines w:val="0"/>
        <w:pageBreakBefore w:val="0"/>
        <w:numPr>
          <w:ilvl w:val="0"/>
          <w:numId w:val="0"/>
        </w:numPr>
        <w:kinsoku/>
        <w:wordWrap/>
        <w:overflowPunct/>
        <w:topLinePunct w:val="0"/>
        <w:bidi w:val="0"/>
        <w:adjustRightIn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三、</w:t>
      </w:r>
      <w:r>
        <w:rPr>
          <w:rFonts w:hint="eastAsia" w:ascii="仿宋" w:hAnsi="仿宋" w:eastAsia="仿宋" w:cs="仿宋"/>
          <w:sz w:val="32"/>
          <w:szCs w:val="32"/>
        </w:rPr>
        <w:t>绩效评价的组织实施情况</w:t>
      </w:r>
    </w:p>
    <w:p>
      <w:pPr>
        <w:keepNext w:val="0"/>
        <w:keepLines w:val="0"/>
        <w:pageBreakBefore w:val="0"/>
        <w:kinsoku/>
        <w:wordWrap/>
        <w:overflowPunct/>
        <w:topLinePunct w:val="0"/>
        <w:autoSpaceDE/>
        <w:autoSpaceDN/>
        <w:bidi w:val="0"/>
        <w:adjustRightInd/>
        <w:snapToGrid w:val="0"/>
        <w:spacing w:before="0" w:after="0" w:line="560" w:lineRule="exact"/>
        <w:ind w:right="0" w:righ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按照《</w:t>
      </w:r>
      <w:r>
        <w:rPr>
          <w:rFonts w:hint="eastAsia" w:ascii="仿宋" w:hAnsi="仿宋" w:eastAsia="仿宋" w:cs="仿宋"/>
          <w:sz w:val="32"/>
          <w:szCs w:val="32"/>
          <w:lang w:eastAsia="zh-CN"/>
        </w:rPr>
        <w:t>邢台市财政局关于开展</w:t>
      </w:r>
      <w:r>
        <w:rPr>
          <w:rFonts w:hint="eastAsia" w:ascii="仿宋" w:hAnsi="仿宋" w:eastAsia="仿宋" w:cs="仿宋"/>
          <w:sz w:val="32"/>
          <w:szCs w:val="32"/>
          <w:lang w:val="en-US" w:eastAsia="zh-CN"/>
        </w:rPr>
        <w:t>2020年度市级项目支出绩效自评和部门整体支出绩效自评工作的通知</w:t>
      </w:r>
      <w:r>
        <w:rPr>
          <w:rFonts w:hint="eastAsia" w:ascii="仿宋" w:hAnsi="仿宋" w:eastAsia="仿宋" w:cs="仿宋"/>
          <w:sz w:val="32"/>
          <w:szCs w:val="32"/>
        </w:rPr>
        <w:t>》（</w:t>
      </w:r>
      <w:r>
        <w:rPr>
          <w:rFonts w:hint="eastAsia" w:ascii="仿宋" w:hAnsi="仿宋" w:eastAsia="仿宋" w:cs="仿宋"/>
          <w:sz w:val="32"/>
          <w:szCs w:val="32"/>
          <w:lang w:eastAsia="zh-CN"/>
        </w:rPr>
        <w:t>邢市财监</w:t>
      </w:r>
      <w:r>
        <w:rPr>
          <w:rFonts w:hint="eastAsia" w:ascii="仿宋" w:hAnsi="仿宋" w:eastAsia="仿宋" w:cs="仿宋"/>
          <w:sz w:val="32"/>
          <w:szCs w:val="32"/>
          <w:lang w:val="en-US" w:eastAsia="zh-CN"/>
        </w:rPr>
        <w:t>[</w:t>
      </w:r>
      <w:r>
        <w:rPr>
          <w:rFonts w:hint="eastAsia" w:ascii="仿宋" w:hAnsi="仿宋" w:eastAsia="仿宋" w:cs="仿宋"/>
          <w:sz w:val="32"/>
          <w:szCs w:val="32"/>
        </w:rPr>
        <w:t>20</w:t>
      </w:r>
      <w:r>
        <w:rPr>
          <w:rFonts w:hint="eastAsia" w:ascii="仿宋" w:hAnsi="仿宋" w:eastAsia="仿宋" w:cs="仿宋"/>
          <w:sz w:val="32"/>
          <w:szCs w:val="32"/>
          <w:lang w:val="en-US" w:eastAsia="zh-CN"/>
        </w:rPr>
        <w:t>21]3</w:t>
      </w:r>
      <w:r>
        <w:rPr>
          <w:rFonts w:hint="eastAsia" w:ascii="仿宋" w:hAnsi="仿宋" w:eastAsia="仿宋" w:cs="仿宋"/>
          <w:sz w:val="32"/>
          <w:szCs w:val="32"/>
        </w:rPr>
        <w:t>号）</w:t>
      </w:r>
      <w:r>
        <w:rPr>
          <w:rFonts w:hint="eastAsia" w:ascii="仿宋" w:hAnsi="仿宋" w:eastAsia="仿宋" w:cs="仿宋"/>
          <w:sz w:val="32"/>
          <w:szCs w:val="32"/>
          <w:lang w:eastAsia="zh-CN"/>
        </w:rPr>
        <w:t>工作部署</w:t>
      </w:r>
      <w:r>
        <w:rPr>
          <w:rFonts w:hint="eastAsia" w:ascii="仿宋" w:hAnsi="仿宋" w:eastAsia="仿宋" w:cs="仿宋"/>
          <w:sz w:val="32"/>
          <w:szCs w:val="32"/>
        </w:rPr>
        <w:t>，</w:t>
      </w:r>
      <w:r>
        <w:rPr>
          <w:rFonts w:hint="eastAsia" w:ascii="仿宋" w:hAnsi="仿宋" w:eastAsia="仿宋" w:cs="仿宋"/>
          <w:sz w:val="32"/>
          <w:szCs w:val="32"/>
          <w:lang w:eastAsia="zh-CN"/>
        </w:rPr>
        <w:t>我院财务处认真学习了相关文件，正式通知院</w:t>
      </w:r>
      <w:r>
        <w:rPr>
          <w:rFonts w:hint="eastAsia" w:ascii="仿宋" w:hAnsi="仿宋" w:eastAsia="仿宋" w:cs="仿宋"/>
          <w:sz w:val="32"/>
          <w:szCs w:val="32"/>
        </w:rPr>
        <w:t>机关</w:t>
      </w:r>
      <w:r>
        <w:rPr>
          <w:rFonts w:hint="eastAsia" w:ascii="仿宋" w:hAnsi="仿宋" w:eastAsia="仿宋" w:cs="仿宋"/>
          <w:sz w:val="32"/>
          <w:szCs w:val="32"/>
          <w:lang w:eastAsia="zh-CN"/>
        </w:rPr>
        <w:t>相关处室须在</w:t>
      </w:r>
      <w:r>
        <w:rPr>
          <w:rFonts w:hint="eastAsia" w:ascii="仿宋" w:hAnsi="仿宋" w:eastAsia="仿宋" w:cs="仿宋"/>
          <w:sz w:val="32"/>
          <w:szCs w:val="32"/>
          <w:lang w:val="en-US" w:eastAsia="zh-CN"/>
        </w:rPr>
        <w:t>3月19日之前，</w:t>
      </w:r>
      <w:r>
        <w:rPr>
          <w:rFonts w:hint="eastAsia" w:ascii="仿宋" w:hAnsi="仿宋" w:eastAsia="仿宋" w:cs="仿宋"/>
          <w:sz w:val="32"/>
          <w:szCs w:val="32"/>
          <w:lang w:eastAsia="zh-CN"/>
        </w:rPr>
        <w:t>对各自承担的</w:t>
      </w:r>
      <w:r>
        <w:rPr>
          <w:rFonts w:hint="eastAsia" w:ascii="仿宋" w:hAnsi="仿宋" w:eastAsia="仿宋" w:cs="仿宋"/>
          <w:sz w:val="32"/>
          <w:szCs w:val="32"/>
          <w:lang w:val="en-US" w:eastAsia="zh-CN"/>
        </w:rPr>
        <w:t>2020</w:t>
      </w:r>
      <w:r>
        <w:rPr>
          <w:rFonts w:hint="eastAsia" w:ascii="仿宋" w:hAnsi="仿宋" w:eastAsia="仿宋" w:cs="仿宋"/>
          <w:sz w:val="32"/>
          <w:szCs w:val="32"/>
        </w:rPr>
        <w:t>年度</w:t>
      </w:r>
      <w:r>
        <w:rPr>
          <w:rFonts w:hint="eastAsia" w:ascii="仿宋" w:hAnsi="仿宋" w:eastAsia="仿宋" w:cs="仿宋"/>
          <w:sz w:val="32"/>
          <w:szCs w:val="32"/>
          <w:lang w:eastAsia="zh-CN"/>
        </w:rPr>
        <w:t>财政资金应用情况做</w:t>
      </w:r>
      <w:r>
        <w:rPr>
          <w:rFonts w:hint="eastAsia" w:ascii="仿宋" w:hAnsi="仿宋" w:eastAsia="仿宋" w:cs="仿宋"/>
          <w:sz w:val="32"/>
          <w:szCs w:val="32"/>
        </w:rPr>
        <w:t>全面自评</w:t>
      </w:r>
      <w:r>
        <w:rPr>
          <w:rFonts w:hint="eastAsia" w:ascii="仿宋" w:hAnsi="仿宋" w:eastAsia="仿宋" w:cs="仿宋"/>
          <w:sz w:val="32"/>
          <w:szCs w:val="32"/>
          <w:lang w:eastAsia="zh-CN"/>
        </w:rPr>
        <w:t>。</w:t>
      </w:r>
    </w:p>
    <w:p>
      <w:pPr>
        <w:keepNext w:val="0"/>
        <w:keepLines w:val="0"/>
        <w:pageBreakBefore w:val="0"/>
        <w:numPr>
          <w:ilvl w:val="0"/>
          <w:numId w:val="4"/>
        </w:numPr>
        <w:kinsoku/>
        <w:wordWrap/>
        <w:overflowPunct/>
        <w:topLinePunct w:val="0"/>
        <w:autoSpaceDE/>
        <w:autoSpaceDN/>
        <w:bidi w:val="0"/>
        <w:adjustRightInd/>
        <w:snapToGrid w:val="0"/>
        <w:spacing w:before="0" w:after="0" w:line="560" w:lineRule="exact"/>
        <w:ind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准备工作</w:t>
      </w:r>
    </w:p>
    <w:p>
      <w:pPr>
        <w:keepNext w:val="0"/>
        <w:keepLines w:val="0"/>
        <w:pageBreakBefore w:val="0"/>
        <w:numPr>
          <w:ilvl w:val="0"/>
          <w:numId w:val="0"/>
        </w:numPr>
        <w:kinsoku/>
        <w:wordWrap/>
        <w:overflowPunct/>
        <w:topLinePunct w:val="0"/>
        <w:autoSpaceDE/>
        <w:autoSpaceDN/>
        <w:bidi w:val="0"/>
        <w:adjustRightInd/>
        <w:snapToGrid w:val="0"/>
        <w:spacing w:before="0" w:after="0" w:line="560" w:lineRule="exact"/>
        <w:ind w:right="0" w:rightChars="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院相关处室</w:t>
      </w:r>
      <w:r>
        <w:rPr>
          <w:rFonts w:hint="eastAsia" w:ascii="仿宋" w:hAnsi="仿宋" w:eastAsia="仿宋" w:cs="仿宋"/>
          <w:sz w:val="32"/>
          <w:szCs w:val="32"/>
        </w:rPr>
        <w:t>是</w:t>
      </w:r>
      <w:r>
        <w:rPr>
          <w:rFonts w:hint="eastAsia" w:ascii="仿宋" w:hAnsi="仿宋" w:eastAsia="仿宋" w:cs="仿宋"/>
          <w:sz w:val="32"/>
          <w:szCs w:val="32"/>
          <w:lang w:eastAsia="zh-CN"/>
        </w:rPr>
        <w:t>本次项目</w:t>
      </w:r>
      <w:r>
        <w:rPr>
          <w:rFonts w:hint="eastAsia" w:ascii="仿宋" w:hAnsi="仿宋" w:eastAsia="仿宋" w:cs="仿宋"/>
          <w:sz w:val="32"/>
          <w:szCs w:val="32"/>
        </w:rPr>
        <w:t>绩效自评工作的</w:t>
      </w:r>
      <w:r>
        <w:rPr>
          <w:rFonts w:hint="eastAsia" w:ascii="仿宋" w:hAnsi="仿宋" w:eastAsia="仿宋" w:cs="仿宋"/>
          <w:sz w:val="32"/>
          <w:szCs w:val="32"/>
          <w:lang w:eastAsia="zh-CN"/>
        </w:rPr>
        <w:t>实施</w:t>
      </w:r>
      <w:r>
        <w:rPr>
          <w:rFonts w:hint="eastAsia" w:ascii="仿宋" w:hAnsi="仿宋" w:eastAsia="仿宋" w:cs="仿宋"/>
          <w:sz w:val="32"/>
          <w:szCs w:val="32"/>
        </w:rPr>
        <w:t>主体。</w:t>
      </w:r>
      <w:r>
        <w:rPr>
          <w:rFonts w:hint="eastAsia" w:ascii="仿宋" w:hAnsi="仿宋" w:eastAsia="仿宋" w:cs="仿宋"/>
          <w:sz w:val="32"/>
          <w:szCs w:val="32"/>
          <w:lang w:eastAsia="zh-CN"/>
        </w:rPr>
        <w:t>各相关处室</w:t>
      </w:r>
      <w:r>
        <w:rPr>
          <w:rFonts w:hint="eastAsia" w:ascii="仿宋" w:hAnsi="仿宋" w:eastAsia="仿宋" w:cs="仿宋"/>
          <w:sz w:val="32"/>
          <w:szCs w:val="32"/>
        </w:rPr>
        <w:t>按通知要求，首先确定绩效评价工作人员，制定绩效评价工作方案，收集绩效评价相关资料，对资料进行审查核实。具体本项目，首先按照通知要求，组建</w:t>
      </w:r>
      <w:r>
        <w:rPr>
          <w:rFonts w:hint="eastAsia" w:ascii="仿宋" w:hAnsi="仿宋" w:eastAsia="仿宋" w:cs="仿宋"/>
          <w:sz w:val="32"/>
          <w:szCs w:val="32"/>
          <w:lang w:eastAsia="zh-CN"/>
        </w:rPr>
        <w:t>主管院</w:t>
      </w:r>
      <w:r>
        <w:rPr>
          <w:rFonts w:hint="eastAsia" w:ascii="仿宋" w:hAnsi="仿宋" w:eastAsia="仿宋" w:cs="仿宋"/>
          <w:sz w:val="32"/>
          <w:szCs w:val="32"/>
        </w:rPr>
        <w:t>长为评价组负责人的绩效评价工作小组，课题主持人负责绩效评价的具体实施。制定统一的工作方案，分头实施。其中，课题组人员负责对照项目合同书</w:t>
      </w:r>
      <w:r>
        <w:rPr>
          <w:rFonts w:hint="eastAsia" w:ascii="仿宋" w:hAnsi="仿宋" w:eastAsia="仿宋" w:cs="仿宋"/>
          <w:sz w:val="32"/>
          <w:szCs w:val="32"/>
          <w:lang w:eastAsia="zh-CN"/>
        </w:rPr>
        <w:t>、年度工作计划等</w:t>
      </w:r>
      <w:r>
        <w:rPr>
          <w:rFonts w:hint="eastAsia" w:ascii="仿宋" w:hAnsi="仿宋" w:eastAsia="仿宋" w:cs="仿宋"/>
          <w:sz w:val="32"/>
          <w:szCs w:val="32"/>
        </w:rPr>
        <w:t>，搜集整理相关材料。</w:t>
      </w:r>
      <w:r>
        <w:rPr>
          <w:rFonts w:hint="eastAsia" w:ascii="仿宋" w:hAnsi="仿宋" w:eastAsia="仿宋" w:cs="仿宋"/>
          <w:sz w:val="32"/>
          <w:szCs w:val="32"/>
          <w:lang w:eastAsia="zh-CN"/>
        </w:rPr>
        <w:t>学术委员会、</w:t>
      </w:r>
      <w:r>
        <w:rPr>
          <w:rFonts w:hint="eastAsia" w:ascii="仿宋" w:hAnsi="仿宋" w:eastAsia="仿宋" w:cs="仿宋"/>
          <w:sz w:val="32"/>
          <w:szCs w:val="32"/>
        </w:rPr>
        <w:t>科</w:t>
      </w:r>
      <w:r>
        <w:rPr>
          <w:rFonts w:hint="eastAsia" w:ascii="仿宋" w:hAnsi="仿宋" w:eastAsia="仿宋" w:cs="仿宋"/>
          <w:sz w:val="32"/>
          <w:szCs w:val="32"/>
          <w:lang w:eastAsia="zh-CN"/>
        </w:rPr>
        <w:t>管处</w:t>
      </w:r>
      <w:r>
        <w:rPr>
          <w:rFonts w:hint="eastAsia" w:ascii="仿宋" w:hAnsi="仿宋" w:eastAsia="仿宋" w:cs="仿宋"/>
          <w:sz w:val="32"/>
          <w:szCs w:val="32"/>
        </w:rPr>
        <w:t>负责项目管理绩效的评价，财务部门负责人负责财务预算和财务支出项目的审查等。</w:t>
      </w:r>
    </w:p>
    <w:p>
      <w:pPr>
        <w:keepNext w:val="0"/>
        <w:keepLines w:val="0"/>
        <w:pageBreakBefore w:val="0"/>
        <w:kinsoku/>
        <w:wordWrap/>
        <w:overflowPunct/>
        <w:topLinePunct w:val="0"/>
        <w:autoSpaceDE/>
        <w:autoSpaceDN/>
        <w:bidi w:val="0"/>
        <w:adjustRightInd/>
        <w:snapToGrid w:val="0"/>
        <w:spacing w:before="0" w:after="0" w:line="560" w:lineRule="exact"/>
        <w:ind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2、组织实施</w:t>
      </w:r>
    </w:p>
    <w:p>
      <w:pPr>
        <w:keepNext w:val="0"/>
        <w:keepLines w:val="0"/>
        <w:pageBreakBefore w:val="0"/>
        <w:widowControl/>
        <w:kinsoku/>
        <w:wordWrap/>
        <w:overflowPunct/>
        <w:topLinePunct w:val="0"/>
        <w:autoSpaceDE/>
        <w:autoSpaceDN/>
        <w:bidi w:val="0"/>
        <w:adjustRightInd/>
        <w:snapToGrid w:val="0"/>
        <w:spacing w:before="0" w:after="0" w:line="560" w:lineRule="exact"/>
        <w:ind w:right="0" w:rightChars="0" w:firstLine="640" w:firstLineChars="200"/>
        <w:jc w:val="left"/>
        <w:textAlignment w:val="auto"/>
        <w:rPr>
          <w:rFonts w:hint="eastAsia" w:ascii="仿宋" w:hAnsi="仿宋" w:eastAsia="仿宋" w:cs="仿宋"/>
          <w:sz w:val="32"/>
        </w:rPr>
      </w:pPr>
      <w:r>
        <w:rPr>
          <w:rFonts w:hint="eastAsia" w:ascii="仿宋" w:hAnsi="仿宋" w:eastAsia="仿宋" w:cs="仿宋"/>
          <w:sz w:val="32"/>
          <w:szCs w:val="32"/>
        </w:rPr>
        <w:t>工作小组按统一方案撰写项目绩效评价报告</w:t>
      </w:r>
      <w:r>
        <w:rPr>
          <w:rFonts w:hint="eastAsia" w:ascii="仿宋" w:hAnsi="仿宋" w:eastAsia="仿宋" w:cs="仿宋"/>
          <w:sz w:val="32"/>
          <w:szCs w:val="32"/>
          <w:lang w:eastAsia="zh-CN"/>
        </w:rPr>
        <w:t>，</w:t>
      </w:r>
      <w:r>
        <w:rPr>
          <w:rFonts w:hint="eastAsia" w:ascii="仿宋" w:hAnsi="仿宋" w:eastAsia="仿宋" w:cs="仿宋"/>
          <w:sz w:val="32"/>
          <w:szCs w:val="32"/>
        </w:rPr>
        <w:t>向有关专家提交绩效评价报告</w:t>
      </w:r>
      <w:r>
        <w:rPr>
          <w:rFonts w:hint="eastAsia" w:ascii="仿宋" w:hAnsi="仿宋" w:eastAsia="仿宋" w:cs="仿宋"/>
          <w:sz w:val="32"/>
          <w:szCs w:val="32"/>
          <w:lang w:eastAsia="zh-CN"/>
        </w:rPr>
        <w:t>，</w:t>
      </w:r>
      <w:r>
        <w:rPr>
          <w:rFonts w:hint="eastAsia" w:ascii="仿宋" w:hAnsi="仿宋" w:eastAsia="仿宋" w:cs="仿宋"/>
          <w:sz w:val="32"/>
          <w:szCs w:val="32"/>
        </w:rPr>
        <w:t>专家根据附表“评价表”中内容逐项评分</w:t>
      </w:r>
      <w:r>
        <w:rPr>
          <w:rFonts w:hint="eastAsia" w:ascii="仿宋" w:hAnsi="仿宋" w:eastAsia="仿宋" w:cs="仿宋"/>
          <w:sz w:val="32"/>
          <w:szCs w:val="32"/>
          <w:lang w:eastAsia="zh-CN"/>
        </w:rPr>
        <w:t>，</w:t>
      </w:r>
      <w:r>
        <w:rPr>
          <w:rFonts w:hint="eastAsia" w:ascii="仿宋" w:hAnsi="仿宋" w:eastAsia="仿宋" w:cs="仿宋"/>
          <w:sz w:val="32"/>
          <w:szCs w:val="32"/>
        </w:rPr>
        <w:t>专家综合分析意见，并形成评价结论</w:t>
      </w:r>
      <w:r>
        <w:rPr>
          <w:rFonts w:hint="eastAsia" w:ascii="仿宋" w:hAnsi="仿宋" w:eastAsia="仿宋" w:cs="仿宋"/>
          <w:sz w:val="32"/>
          <w:szCs w:val="32"/>
          <w:lang w:eastAsia="zh-CN"/>
        </w:rPr>
        <w:t>，</w:t>
      </w:r>
      <w:r>
        <w:rPr>
          <w:rFonts w:hint="eastAsia" w:ascii="仿宋" w:hAnsi="仿宋" w:eastAsia="仿宋" w:cs="仿宋"/>
          <w:sz w:val="32"/>
          <w:szCs w:val="32"/>
        </w:rPr>
        <w:t>评价组负责人给出综合评价等级</w:t>
      </w:r>
      <w:r>
        <w:rPr>
          <w:rFonts w:hint="eastAsia" w:ascii="仿宋" w:hAnsi="仿宋" w:eastAsia="仿宋" w:cs="仿宋"/>
          <w:sz w:val="32"/>
          <w:szCs w:val="32"/>
          <w:lang w:eastAsia="zh-CN"/>
        </w:rPr>
        <w:t>，</w:t>
      </w:r>
      <w:r>
        <w:rPr>
          <w:rFonts w:hint="eastAsia" w:ascii="仿宋" w:hAnsi="仿宋" w:eastAsia="仿宋" w:cs="仿宋"/>
          <w:sz w:val="32"/>
          <w:szCs w:val="32"/>
        </w:rPr>
        <w:t>建立绩效评价档案。</w:t>
      </w:r>
    </w:p>
    <w:p>
      <w:pPr>
        <w:keepNext w:val="0"/>
        <w:keepLines w:val="0"/>
        <w:pageBreakBefore w:val="0"/>
        <w:numPr>
          <w:ilvl w:val="0"/>
          <w:numId w:val="5"/>
        </w:numPr>
        <w:kinsoku/>
        <w:wordWrap/>
        <w:overflowPunct/>
        <w:topLinePunct w:val="0"/>
        <w:bidi w:val="0"/>
        <w:adjustRightInd/>
        <w:spacing w:line="560" w:lineRule="exact"/>
        <w:ind w:firstLine="640" w:firstLineChars="200"/>
        <w:textAlignment w:val="auto"/>
        <w:outlineLvl w:val="1"/>
        <w:rPr>
          <w:rFonts w:hint="eastAsia" w:ascii="仿宋" w:hAnsi="仿宋" w:eastAsia="仿宋" w:cs="仿宋"/>
          <w:sz w:val="32"/>
          <w:szCs w:val="32"/>
        </w:rPr>
      </w:pPr>
      <w:r>
        <w:rPr>
          <w:rFonts w:hint="eastAsia" w:ascii="仿宋" w:hAnsi="仿宋" w:eastAsia="仿宋" w:cs="仿宋"/>
          <w:sz w:val="32"/>
          <w:szCs w:val="32"/>
        </w:rPr>
        <w:t>评价对象绩效目标、绩效指标</w:t>
      </w:r>
      <w:r>
        <w:rPr>
          <w:rFonts w:hint="eastAsia" w:ascii="仿宋" w:hAnsi="仿宋" w:eastAsia="仿宋" w:cs="仿宋"/>
          <w:sz w:val="32"/>
          <w:szCs w:val="32"/>
          <w:lang w:eastAsia="zh-CN"/>
        </w:rPr>
        <w:t>、</w:t>
      </w:r>
      <w:r>
        <w:rPr>
          <w:rFonts w:hint="eastAsia" w:ascii="仿宋" w:hAnsi="仿宋" w:eastAsia="仿宋" w:cs="仿宋"/>
          <w:sz w:val="32"/>
          <w:szCs w:val="32"/>
        </w:rPr>
        <w:t>评价标准</w:t>
      </w:r>
    </w:p>
    <w:p>
      <w:pPr>
        <w:keepNext w:val="0"/>
        <w:keepLines w:val="0"/>
        <w:pageBreakBefore w:val="0"/>
        <w:widowControl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根据绩效结论和按照年初指标设置情况，我院各分项和总体都达到了优级标准，见下表：</w:t>
      </w:r>
    </w:p>
    <w:tbl>
      <w:tblPr>
        <w:tblStyle w:val="6"/>
        <w:tblW w:w="9855" w:type="dxa"/>
        <w:tblInd w:w="0" w:type="dxa"/>
        <w:shd w:val="clear" w:color="auto" w:fill="auto"/>
        <w:tblLayout w:type="fixed"/>
        <w:tblCellMar>
          <w:top w:w="0" w:type="dxa"/>
          <w:left w:w="0" w:type="dxa"/>
          <w:bottom w:w="0" w:type="dxa"/>
          <w:right w:w="0" w:type="dxa"/>
        </w:tblCellMar>
      </w:tblPr>
      <w:tblGrid>
        <w:gridCol w:w="764"/>
        <w:gridCol w:w="703"/>
        <w:gridCol w:w="1667"/>
        <w:gridCol w:w="1813"/>
        <w:gridCol w:w="508"/>
        <w:gridCol w:w="830"/>
        <w:gridCol w:w="880"/>
        <w:gridCol w:w="830"/>
        <w:gridCol w:w="630"/>
        <w:gridCol w:w="615"/>
        <w:gridCol w:w="615"/>
      </w:tblGrid>
      <w:tr>
        <w:tblPrEx>
          <w:shd w:val="clear" w:color="auto" w:fill="auto"/>
          <w:tblLayout w:type="fixed"/>
          <w:tblCellMar>
            <w:top w:w="0" w:type="dxa"/>
            <w:left w:w="0" w:type="dxa"/>
            <w:bottom w:w="0" w:type="dxa"/>
            <w:right w:w="0" w:type="dxa"/>
          </w:tblCellMar>
        </w:tblPrEx>
        <w:trPr>
          <w:trHeight w:val="460"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职责-活动-项目</w:t>
            </w: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年度预算数（万元）</w:t>
            </w:r>
          </w:p>
        </w:tc>
        <w:tc>
          <w:tcPr>
            <w:tcW w:w="16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绩效目标</w:t>
            </w:r>
          </w:p>
        </w:tc>
        <w:tc>
          <w:tcPr>
            <w:tcW w:w="181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绩效指标</w:t>
            </w:r>
          </w:p>
        </w:tc>
        <w:tc>
          <w:tcPr>
            <w:tcW w:w="50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单位（文字描述）</w:t>
            </w:r>
          </w:p>
        </w:tc>
        <w:tc>
          <w:tcPr>
            <w:tcW w:w="3170"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评价标准</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完成度</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评价情况</w:t>
            </w:r>
          </w:p>
        </w:tc>
      </w:tr>
      <w:tr>
        <w:tblPrEx>
          <w:tblLayout w:type="fixed"/>
          <w:tblCellMar>
            <w:top w:w="0" w:type="dxa"/>
            <w:left w:w="0" w:type="dxa"/>
            <w:bottom w:w="0" w:type="dxa"/>
            <w:right w:w="0" w:type="dxa"/>
          </w:tblCellMar>
        </w:tblPrEx>
        <w:trPr>
          <w:trHeight w:val="54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50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优</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良</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中</w:t>
            </w:r>
          </w:p>
        </w:tc>
        <w:tc>
          <w:tcPr>
            <w:tcW w:w="6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差</w:t>
            </w: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154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jc w:val="both"/>
              <w:textAlignment w:val="bottom"/>
              <w:rPr>
                <w:rFonts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一、农业科技创新</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jc w:val="both"/>
              <w:textAlignment w:val="bottom"/>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127</w:t>
            </w:r>
          </w:p>
        </w:tc>
        <w:tc>
          <w:tcPr>
            <w:tcW w:w="16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围绕全市农业发展目标和技术需求，开展农业科技创新，研发新品种、新技术。</w:t>
            </w:r>
          </w:p>
        </w:tc>
        <w:tc>
          <w:tcPr>
            <w:tcW w:w="5491" w:type="dxa"/>
            <w:gridSpan w:val="6"/>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154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jc w:val="both"/>
              <w:textAlignment w:val="bottom"/>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1.应用基础研究</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jc w:val="both"/>
              <w:textAlignment w:val="bottom"/>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127</w:t>
            </w:r>
          </w:p>
        </w:tc>
        <w:tc>
          <w:tcPr>
            <w:tcW w:w="16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前瞻性、基础性课题（自主选题）；品种资源搜集及保存；农业科研基础性、辅助性工作。</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指标见列表</w:t>
            </w:r>
          </w:p>
        </w:tc>
        <w:tc>
          <w:tcPr>
            <w:tcW w:w="50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指标见列表</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指标见列表</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指标见列表</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指标见列表</w:t>
            </w:r>
          </w:p>
        </w:tc>
        <w:tc>
          <w:tcPr>
            <w:tcW w:w="6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指标见列表</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Theme="minorEastAsia" w:hAnsiTheme="minorEastAsia" w:eastAsiaTheme="minorEastAsia" w:cstheme="minorEastAsia"/>
                <w:i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0"/>
                <w:szCs w:val="20"/>
                <w:u w:val="none"/>
              </w:rPr>
            </w:pPr>
          </w:p>
        </w:tc>
      </w:tr>
      <w:tr>
        <w:tblPrEx>
          <w:tblLayout w:type="fixed"/>
          <w:tblCellMar>
            <w:top w:w="0" w:type="dxa"/>
            <w:left w:w="0" w:type="dxa"/>
            <w:bottom w:w="0" w:type="dxa"/>
            <w:right w:w="0" w:type="dxa"/>
          </w:tblCellMar>
        </w:tblPrEx>
        <w:trPr>
          <w:trHeight w:val="402"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1.1农业科技创新</w:t>
            </w: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w:t>
            </w:r>
          </w:p>
        </w:tc>
        <w:tc>
          <w:tcPr>
            <w:tcW w:w="16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1.制定出优良酸枣栽培技术规范，调动果农发展酸枣产业的积极性，以酸枣产业带动农民增收致富，助力乡村振兴战略。                    2.开展规范化栽培技术研究并熟练掌握应用，调动农民发展中药材的积极性，以中药材产业带动农民增收致富，助力乡村振兴战略。           3.开展花卉高效繁殖及生产技术研究，调动花农发展花卉产业的积极性，以花卉产业带动农民脱贫致富，助力乡村振兴战略。                   4.通过该项目的连续实施，达到缩短玉米育种进程，提高育种和鉴定效率，多出品种、快出品种、出大品种的目的，为玉米产业发展做出贡献。                                            5.引进新菌株，调查其农艺性状，研究其栽培特性，筛选优良菌株研究其配套栽培技术并示范。             6.引进食用型甘薯新品种，建立小区对比试验、示范田，引进脱毒苗，开展甘薯脱毒技术研究，以甘薯产业带动农民脱贫致富，助力乡村振兴战略。                          7.进行小麦栽培技术模式研发试验，建立示范田，进行示范推广，促进节水节本增效。</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筛选出酸枣优良品系数量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&gt;2</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筛选适栽的花卉品种数量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&gt;3</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58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筛选适栽大宗中药材品种数</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&gt;3</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133%</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完成玉米南繁种植面积</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亩</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&gt;6</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117%</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66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玉米种植自交系份数（含加代材料）</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份</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&gt;550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550</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500</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&lt;500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58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玉米组配组合数量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份</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&gt;650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650</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600</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&lt;600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玉米优良组合制种数量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份</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&gt;9</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9</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&lt;8</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玉米生态适应性布点数量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&gt;3</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玉米参加省级试验组合数量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&gt;3</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筛选出优良食用菌品种数量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&gt;2</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申请国家植物新品种权数量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引进甘薯脱毒苗品种数量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&gt;5</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筛选出适宜的甘薯脱毒苗品种数量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&gt;2</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52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建立甘薯试验示范基地面积</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亩</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&gt;80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60%</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建立小麦核心示范田面积</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亩</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&gt;140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140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107%</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52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制定优良酸枣栽培技术规范完成率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&gt;85</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85</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75</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&lt;75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52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开展适合的中药材规范化栽培技术完成度</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&gt;80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配套组织花卉快繁技术完成度</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&gt;80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玉米试验出苗率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&gt;65</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65</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60</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&lt;60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玉米制种合格率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&gt;65</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65</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60</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&lt;60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50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制定食用菌栽培技术规范完成率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&gt;95</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54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甘薯脱毒试验完成率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&gt;85</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85</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75</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&lt;75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58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完成小麦节水试验完成率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&lt;60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54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项目完成时间</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月</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延期完成</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未完成</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559"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项目及时完成率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&gt;90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项目投资总额</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万元</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44</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44</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酸枣技术示范户较一般农户亩均增收额</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元</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&gt;120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亩均增加中药材种植农民收入</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元</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&gt;400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亩均增加种植花卉农民收入</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元</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&gt;300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玉米参试品种（普通类）较对照增产率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&gt;3</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食用菌技术示范户较一般农户生物学效率提高率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&gt;15</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甘薯产量较当地大田增产量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kg/亩</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&gt;200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180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160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317%</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较项目区近三年平均小麦增产量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kg/亩</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&gt;30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417%</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技术带动酸枣示范田数量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亩</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&gt;100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增加带动农民就业人数</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&gt;18</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18</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111%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玉米新品种推广应用面积</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万亩</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&gt;40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技术带动食用菌示范棚数量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亩</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辐射带动甘薯脱毒苗种植面积</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亩</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&gt;1000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辐射带动小麦种植面积</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亩</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&gt;1000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甘薯种植户亩节约用水量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立方</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&gt;50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调动果农发展酸枣产业的积极性，参与酸枣生产人员新增人数</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&gt;15</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花卉高效繁殖技术使用年限</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年</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&gt;3</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167%</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中药材规范化栽培技术使用年限</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年</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&gt;4</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玉米年鉴定优良组合数量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430%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调动菇农的生产积极性，新增食用菌生产者人数</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8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调动甘薯产业发展的积极性，参与甘薯配套栽培技术模式生产人员新增人数</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&gt;15</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133%</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619"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总结栽培技术数量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套</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&gt;1</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1.2海南基地土地租赁</w:t>
            </w: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80</w:t>
            </w:r>
          </w:p>
        </w:tc>
        <w:tc>
          <w:tcPr>
            <w:tcW w:w="16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完成海南基地117.9亩土地的6年续租</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提供南繁用地面积</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亩</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120</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w:t>
            </w:r>
          </w:p>
        </w:tc>
        <w:tc>
          <w:tcPr>
            <w:tcW w:w="6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39"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南繁基地使用保障率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保证南繁任务完成率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&lt;70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南繁基地租赁费支付时间</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月</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&lt;6</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土地租赁期限</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年</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&lt;3</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619"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项目投资总额</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万元</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&gt;78</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77.82</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≤77.82</w:t>
            </w:r>
          </w:p>
        </w:tc>
        <w:tc>
          <w:tcPr>
            <w:tcW w:w="6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≤77.82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每年可增加新品种数量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培育的新品种生产应用面积</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万亩</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&lt;20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保证海南基地土地正常使用时间</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年</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&lt;3</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持续繁育玉米加代材料</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份</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≥200</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持续配制杂交组合</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≥900</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≥700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&lt;700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持续繁育花生加代材料</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份</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≥30</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20"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1.3棉花新品系转基因检测及品比试验</w:t>
            </w: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16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2019年度河北省主要农作物区域试验参试品种申报工作的通知”要求，对我院自育棉花新品系进行转基因检测和品比试验，以符合参试条件，尽快参加省区域试验，进而通过审定，为我省棉花生产提供优良新品种。</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送检转基因检测新品系数量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&lt;1</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&lt;1</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中</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品比试验参试品系数量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基因检测及品比试验完成率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85</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75</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&lt;75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项目完成时间</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月</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提前完成</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12月完成</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延期完成</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未完成</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项目总投资金额</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万元</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2.6</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02"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新品系较对照增产率</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4.9-3</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154%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439"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为棉农推荐抗虫棉新品系数量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个</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8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0.5</w:t>
            </w:r>
          </w:p>
        </w:tc>
        <w:tc>
          <w:tcPr>
            <w:tcW w:w="6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r>
        <w:tblPrEx>
          <w:tblLayout w:type="fixed"/>
          <w:tblCellMar>
            <w:top w:w="0" w:type="dxa"/>
            <w:left w:w="0" w:type="dxa"/>
            <w:bottom w:w="0" w:type="dxa"/>
            <w:right w:w="0" w:type="dxa"/>
          </w:tblCellMar>
        </w:tblPrEx>
        <w:trPr>
          <w:trHeight w:val="54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新品种的增产效应可调动棉农应用数量</w:t>
            </w:r>
          </w:p>
        </w:tc>
        <w:tc>
          <w:tcPr>
            <w:tcW w:w="5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﹥30</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30</w:t>
            </w:r>
          </w:p>
        </w:tc>
        <w:tc>
          <w:tcPr>
            <w:tcW w:w="8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10-29</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﹤9</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优</w:t>
            </w:r>
          </w:p>
        </w:tc>
      </w:tr>
    </w:tbl>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sz w:val="32"/>
          <w:szCs w:val="32"/>
          <w:lang w:val="en-US" w:eastAsia="zh-CN"/>
        </w:rPr>
      </w:pPr>
      <w:r>
        <w:rPr>
          <w:rFonts w:hint="eastAsia" w:ascii="仿宋" w:hAnsi="仿宋" w:eastAsia="仿宋" w:cs="仿宋"/>
          <w:sz w:val="32"/>
          <w:szCs w:val="32"/>
          <w:lang w:eastAsia="zh-CN"/>
        </w:rPr>
        <w:t>（二）</w:t>
      </w:r>
      <w:r>
        <w:rPr>
          <w:rFonts w:hint="eastAsia" w:ascii="仿宋" w:hAnsi="仿宋" w:eastAsia="仿宋" w:cs="仿宋"/>
          <w:sz w:val="32"/>
          <w:szCs w:val="32"/>
        </w:rPr>
        <w:t>评价方法</w:t>
      </w:r>
      <w:r>
        <w:rPr>
          <w:rFonts w:hint="eastAsia" w:ascii="仿宋" w:hAnsi="仿宋" w:eastAsia="仿宋" w:cs="仿宋"/>
          <w:sz w:val="32"/>
          <w:szCs w:val="32"/>
          <w:lang w:eastAsia="zh-CN"/>
        </w:rPr>
        <w:t>：目标评价法。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各项绩效目标的实现程度及差异性原因分析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sz w:val="32"/>
          <w:szCs w:val="32"/>
          <w:lang w:eastAsia="zh-CN"/>
        </w:rPr>
      </w:pPr>
      <w:r>
        <w:rPr>
          <w:rFonts w:hint="eastAsia" w:ascii="仿宋" w:hAnsi="仿宋" w:eastAsia="仿宋" w:cs="仿宋"/>
          <w:sz w:val="32"/>
          <w:szCs w:val="32"/>
          <w:lang w:eastAsia="zh-CN"/>
        </w:rPr>
        <w:t>我院各分项和总体基本都达到了优级标准</w:t>
      </w:r>
      <w:r>
        <w:rPr>
          <w:rFonts w:hint="eastAsia" w:ascii="仿宋" w:hAnsi="仿宋" w:eastAsia="仿宋" w:cs="仿宋"/>
          <w:sz w:val="32"/>
          <w:szCs w:val="32"/>
          <w:lang w:val="en-US" w:eastAsia="zh-CN"/>
        </w:rPr>
        <w:t>,棉花新品系转基因检测及品比试验项目,因经费2020年12月份到位时，已错过当年转基因检测时间，故只能当年完成缴费，下年完成基因检测。</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sz w:val="32"/>
          <w:szCs w:val="32"/>
          <w:lang w:eastAsia="zh-CN"/>
        </w:rPr>
      </w:pPr>
      <w:r>
        <w:rPr>
          <w:rFonts w:hint="eastAsia" w:ascii="仿宋" w:hAnsi="仿宋" w:eastAsia="仿宋" w:cs="仿宋"/>
          <w:sz w:val="32"/>
          <w:szCs w:val="32"/>
          <w:lang w:eastAsia="zh-CN"/>
        </w:rPr>
        <w:t>五、</w:t>
      </w:r>
      <w:r>
        <w:rPr>
          <w:rFonts w:hint="eastAsia" w:ascii="仿宋" w:hAnsi="仿宋" w:eastAsia="仿宋" w:cs="仿宋"/>
          <w:sz w:val="32"/>
          <w:szCs w:val="32"/>
        </w:rPr>
        <w:t>存在问题、采取的纠偏措施及改进绩效管理建议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存在问题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auto"/>
          <w:sz w:val="32"/>
          <w:szCs w:val="32"/>
          <w:lang w:eastAsia="zh-CN"/>
        </w:rPr>
      </w:pPr>
      <w:r>
        <w:rPr>
          <w:rFonts w:hint="eastAsia" w:ascii="仿宋" w:hAnsi="仿宋" w:eastAsia="仿宋" w:cs="仿宋"/>
          <w:sz w:val="32"/>
          <w:szCs w:val="32"/>
          <w:lang w:eastAsia="zh-CN"/>
        </w:rPr>
        <w:t>当前，我</w:t>
      </w:r>
      <w:r>
        <w:rPr>
          <w:rFonts w:hint="eastAsia" w:ascii="仿宋" w:hAnsi="仿宋" w:eastAsia="仿宋" w:cs="仿宋"/>
          <w:color w:val="auto"/>
          <w:sz w:val="32"/>
          <w:szCs w:val="32"/>
          <w:lang w:eastAsia="zh-CN"/>
        </w:rPr>
        <w:t>院科技创新工作与党的十九大的新要求，与全市农业发展的新形势，与领导的期望和农民的期待还有不小差距。一是科技创新上，创新成果还不多，缺少引领农业高质量发展的突破性成果和关键技术。二是科研资金上，经费少，且不固定，年度间波动大，无法满足科研需要。三是自身建设上，领军人才不足，人才断档隐患已经显现，财务管理和行政后勤保障等还需进一步加强，干事创业的氛围有待进一步增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（二）</w:t>
      </w:r>
      <w:r>
        <w:rPr>
          <w:rFonts w:hint="eastAsia" w:ascii="仿宋" w:hAnsi="仿宋" w:eastAsia="仿宋" w:cs="仿宋"/>
          <w:color w:val="auto"/>
          <w:sz w:val="32"/>
          <w:szCs w:val="32"/>
        </w:rPr>
        <w:t>采取的纠偏措施及改进绩效管理建议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正确定位</w:t>
      </w:r>
      <w:r>
        <w:rPr>
          <w:rFonts w:hint="eastAsia" w:ascii="仿宋" w:hAnsi="仿宋" w:eastAsia="仿宋" w:cs="仿宋"/>
          <w:color w:val="auto"/>
          <w:sz w:val="32"/>
          <w:szCs w:val="32"/>
        </w:rPr>
        <w:t>，发挥职能，加快科技创新，为</w:t>
      </w:r>
      <w:r>
        <w:rPr>
          <w:rFonts w:hint="eastAsia" w:ascii="仿宋" w:hAnsi="仿宋" w:eastAsia="仿宋" w:cs="仿宋"/>
          <w:color w:val="auto"/>
          <w:sz w:val="32"/>
          <w:szCs w:val="32"/>
          <w:lang w:eastAsia="zh-CN"/>
        </w:rPr>
        <w:t>全市乡村振兴战略提供强有力的科技支撑。围绕实施乡村振兴战略，以深化全市农业供给侧结构性改革为主线，以科技支撑产业兴旺为重点，狠抓科技创新和成果转化两大重点工作，明确责任，狠抓落实，全面推动农科院科技工作创新发展、高质量发展</w:t>
      </w:r>
      <w:r>
        <w:rPr>
          <w:rFonts w:hint="eastAsia" w:ascii="仿宋" w:hAnsi="仿宋" w:eastAsia="仿宋" w:cs="仿宋"/>
          <w:color w:val="auto"/>
          <w:sz w:val="32"/>
          <w:szCs w:val="32"/>
        </w:rPr>
        <w:t>。</w:t>
      </w:r>
    </w:p>
    <w:p>
      <w:pPr>
        <w:pStyle w:val="3"/>
        <w:keepNext w:val="0"/>
        <w:keepLines w:val="0"/>
        <w:pageBreakBefore w:val="0"/>
        <w:kinsoku/>
        <w:wordWrap/>
        <w:overflowPunct/>
        <w:topLinePunct w:val="0"/>
        <w:autoSpaceDE/>
        <w:autoSpaceDN/>
        <w:bidi w:val="0"/>
        <w:adjustRightInd/>
        <w:snapToGrid/>
        <w:spacing w:before="0" w:beforeLines="0" w:beforeAutospacing="0" w:after="0" w:afterLines="0" w:afterAutospacing="0" w:line="560" w:lineRule="exact"/>
        <w:ind w:left="45" w:right="45" w:firstLine="45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优化资源配置，提高资源利用率</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合理配置人才、条件、资金等各种资源，发挥学科优势、人才优势和资源优势，集中人力财力物力支持重大科研、成果转化项目和农村科技服务项目。树立投入产出理念，注重投资效果，农业科研作为公益事业要注重社会净效益。</w:t>
      </w:r>
    </w:p>
    <w:p>
      <w:pPr>
        <w:pStyle w:val="3"/>
        <w:keepNext w:val="0"/>
        <w:keepLines w:val="0"/>
        <w:pageBreakBefore w:val="0"/>
        <w:kinsoku/>
        <w:wordWrap/>
        <w:overflowPunct/>
        <w:topLinePunct w:val="0"/>
        <w:autoSpaceDE/>
        <w:autoSpaceDN/>
        <w:bidi w:val="0"/>
        <w:adjustRightInd/>
        <w:snapToGrid/>
        <w:spacing w:before="0" w:beforeLines="0" w:beforeAutospacing="0" w:after="0" w:afterLines="0" w:afterAutospacing="0" w:line="560" w:lineRule="exact"/>
        <w:ind w:left="45" w:right="45" w:firstLine="45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3、做好绩效考核评价工作。建立科学的绩效指标体系和评价方法，评价结果作为业绩考核和以后年度预算安排的重要依据。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其他需要说明的问题。</w:t>
      </w:r>
    </w:p>
    <w:p>
      <w:pPr>
        <w:keepNext w:val="0"/>
        <w:keepLines w:val="0"/>
        <w:pageBreakBefore w:val="0"/>
        <w:numPr>
          <w:ilvl w:val="0"/>
          <w:numId w:val="0"/>
        </w:numPr>
        <w:kinsoku/>
        <w:wordWrap/>
        <w:overflowPunct/>
        <w:topLinePunct w:val="0"/>
        <w:autoSpaceDE/>
        <w:autoSpaceDN/>
        <w:bidi w:val="0"/>
        <w:adjustRightInd/>
        <w:snapToGrid/>
        <w:spacing w:line="560" w:lineRule="exact"/>
        <w:jc w:val="left"/>
        <w:textAlignment w:val="auto"/>
      </w:pPr>
      <w:r>
        <w:rPr>
          <w:rFonts w:hint="eastAsia" w:ascii="仿宋" w:hAnsi="仿宋" w:eastAsia="仿宋" w:cs="仿宋"/>
          <w:color w:val="auto"/>
          <w:sz w:val="32"/>
          <w:szCs w:val="32"/>
          <w:lang w:val="en-US" w:eastAsia="zh-CN"/>
        </w:rPr>
        <w:t xml:space="preserve">    无。</w:t>
      </w:r>
    </w:p>
    <w:sectPr>
      <w:pgSz w:w="11906" w:h="16838"/>
      <w:pgMar w:top="1440" w:right="1080" w:bottom="1440" w:left="1080"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Style w:val="5"/>
                              <w:rFonts w:ascii="宋体" w:hAnsi="宋体" w:eastAsia="宋体"/>
                              <w:sz w:val="28"/>
                              <w:szCs w:val="28"/>
                            </w:rPr>
                          </w:pPr>
                          <w:r>
                            <w:rPr>
                              <w:rStyle w:val="5"/>
                              <w:rFonts w:hint="eastAsia" w:ascii="宋体" w:hAnsi="宋体" w:eastAsia="宋体"/>
                              <w:sz w:val="28"/>
                              <w:szCs w:val="28"/>
                            </w:rPr>
                            <w:t>-</w:t>
                          </w:r>
                          <w:r>
                            <w:rPr>
                              <w:rStyle w:val="5"/>
                              <w:rFonts w:ascii="宋体" w:hAnsi="宋体" w:eastAsia="宋体"/>
                              <w:sz w:val="28"/>
                              <w:szCs w:val="28"/>
                            </w:rPr>
                            <w:fldChar w:fldCharType="begin"/>
                          </w:r>
                          <w:r>
                            <w:rPr>
                              <w:rStyle w:val="5"/>
                              <w:rFonts w:ascii="宋体" w:hAnsi="宋体" w:eastAsia="宋体"/>
                              <w:sz w:val="28"/>
                              <w:szCs w:val="28"/>
                            </w:rPr>
                            <w:instrText xml:space="preserve">PAGE  </w:instrText>
                          </w:r>
                          <w:r>
                            <w:rPr>
                              <w:rStyle w:val="5"/>
                              <w:rFonts w:ascii="宋体" w:hAnsi="宋体" w:eastAsia="宋体"/>
                              <w:sz w:val="28"/>
                              <w:szCs w:val="28"/>
                            </w:rPr>
                            <w:fldChar w:fldCharType="separate"/>
                          </w:r>
                          <w:r>
                            <w:rPr>
                              <w:rStyle w:val="5"/>
                              <w:rFonts w:ascii="宋体" w:hAnsi="宋体" w:eastAsia="宋体"/>
                              <w:sz w:val="28"/>
                              <w:szCs w:val="28"/>
                            </w:rPr>
                            <w:t>6</w:t>
                          </w:r>
                          <w:r>
                            <w:rPr>
                              <w:rStyle w:val="5"/>
                              <w:rFonts w:ascii="宋体" w:hAnsi="宋体" w:eastAsia="宋体"/>
                              <w:sz w:val="28"/>
                              <w:szCs w:val="28"/>
                            </w:rPr>
                            <w:fldChar w:fldCharType="end"/>
                          </w:r>
                          <w:r>
                            <w:rPr>
                              <w:rStyle w:val="5"/>
                              <w:rFonts w:hint="eastAsia" w:ascii="宋体" w:hAnsi="宋体" w:eastAsia="宋体"/>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Style w:val="5"/>
                        <w:rFonts w:ascii="宋体" w:hAnsi="宋体" w:eastAsia="宋体"/>
                        <w:sz w:val="28"/>
                        <w:szCs w:val="28"/>
                      </w:rPr>
                    </w:pPr>
                    <w:r>
                      <w:rPr>
                        <w:rStyle w:val="5"/>
                        <w:rFonts w:hint="eastAsia" w:ascii="宋体" w:hAnsi="宋体" w:eastAsia="宋体"/>
                        <w:sz w:val="28"/>
                        <w:szCs w:val="28"/>
                      </w:rPr>
                      <w:t>-</w:t>
                    </w:r>
                    <w:r>
                      <w:rPr>
                        <w:rStyle w:val="5"/>
                        <w:rFonts w:ascii="宋体" w:hAnsi="宋体" w:eastAsia="宋体"/>
                        <w:sz w:val="28"/>
                        <w:szCs w:val="28"/>
                      </w:rPr>
                      <w:fldChar w:fldCharType="begin"/>
                    </w:r>
                    <w:r>
                      <w:rPr>
                        <w:rStyle w:val="5"/>
                        <w:rFonts w:ascii="宋体" w:hAnsi="宋体" w:eastAsia="宋体"/>
                        <w:sz w:val="28"/>
                        <w:szCs w:val="28"/>
                      </w:rPr>
                      <w:instrText xml:space="preserve">PAGE  </w:instrText>
                    </w:r>
                    <w:r>
                      <w:rPr>
                        <w:rStyle w:val="5"/>
                        <w:rFonts w:ascii="宋体" w:hAnsi="宋体" w:eastAsia="宋体"/>
                        <w:sz w:val="28"/>
                        <w:szCs w:val="28"/>
                      </w:rPr>
                      <w:fldChar w:fldCharType="separate"/>
                    </w:r>
                    <w:r>
                      <w:rPr>
                        <w:rStyle w:val="5"/>
                        <w:rFonts w:ascii="宋体" w:hAnsi="宋体" w:eastAsia="宋体"/>
                        <w:sz w:val="28"/>
                        <w:szCs w:val="28"/>
                      </w:rPr>
                      <w:t>6</w:t>
                    </w:r>
                    <w:r>
                      <w:rPr>
                        <w:rStyle w:val="5"/>
                        <w:rFonts w:ascii="宋体" w:hAnsi="宋体" w:eastAsia="宋体"/>
                        <w:sz w:val="28"/>
                        <w:szCs w:val="28"/>
                      </w:rPr>
                      <w:fldChar w:fldCharType="end"/>
                    </w:r>
                    <w:r>
                      <w:rPr>
                        <w:rStyle w:val="5"/>
                        <w:rFonts w:hint="eastAsia" w:ascii="宋体" w:hAnsi="宋体" w:eastAsia="宋体"/>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8D1C"/>
    <w:multiLevelType w:val="singleLevel"/>
    <w:tmpl w:val="87868D1C"/>
    <w:lvl w:ilvl="0" w:tentative="0">
      <w:start w:val="1"/>
      <w:numFmt w:val="chineseCounting"/>
      <w:suff w:val="nothing"/>
      <w:lvlText w:val="（%1）"/>
      <w:lvlJc w:val="left"/>
      <w:rPr>
        <w:rFonts w:hint="eastAsia"/>
      </w:rPr>
    </w:lvl>
  </w:abstractNum>
  <w:abstractNum w:abstractNumId="1">
    <w:nsid w:val="A136F9B5"/>
    <w:multiLevelType w:val="singleLevel"/>
    <w:tmpl w:val="A136F9B5"/>
    <w:lvl w:ilvl="0" w:tentative="0">
      <w:start w:val="1"/>
      <w:numFmt w:val="chineseCounting"/>
      <w:suff w:val="nothing"/>
      <w:lvlText w:val="（%1）"/>
      <w:lvlJc w:val="left"/>
      <w:rPr>
        <w:rFonts w:hint="eastAsia"/>
      </w:rPr>
    </w:lvl>
  </w:abstractNum>
  <w:abstractNum w:abstractNumId="2">
    <w:nsid w:val="EA2D5A54"/>
    <w:multiLevelType w:val="singleLevel"/>
    <w:tmpl w:val="EA2D5A54"/>
    <w:lvl w:ilvl="0" w:tentative="0">
      <w:start w:val="2"/>
      <w:numFmt w:val="chineseCounting"/>
      <w:suff w:val="nothing"/>
      <w:lvlText w:val="%1、"/>
      <w:lvlJc w:val="left"/>
      <w:rPr>
        <w:rFonts w:hint="eastAsia"/>
      </w:rPr>
    </w:lvl>
  </w:abstractNum>
  <w:abstractNum w:abstractNumId="3">
    <w:nsid w:val="00000006"/>
    <w:multiLevelType w:val="singleLevel"/>
    <w:tmpl w:val="00000006"/>
    <w:lvl w:ilvl="0" w:tentative="0">
      <w:start w:val="1"/>
      <w:numFmt w:val="decimal"/>
      <w:suff w:val="nothing"/>
      <w:lvlText w:val="%1、"/>
      <w:lvlJc w:val="left"/>
    </w:lvl>
  </w:abstractNum>
  <w:abstractNum w:abstractNumId="4">
    <w:nsid w:val="2F2671F4"/>
    <w:multiLevelType w:val="singleLevel"/>
    <w:tmpl w:val="2F2671F4"/>
    <w:lvl w:ilvl="0" w:tentative="0">
      <w:start w:val="4"/>
      <w:numFmt w:val="chineseCounting"/>
      <w:suff w:val="nothing"/>
      <w:lvlText w:val="（%1）"/>
      <w:lvlJc w:val="left"/>
      <w:rPr>
        <w:rFonts w:hint="eastAsi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2569CD"/>
    <w:rsid w:val="08256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5">
    <w:name w:val="page number"/>
    <w:basedOn w:val="4"/>
    <w:semiHidden/>
    <w:unhideWhenUsed/>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2021-03-17T08:59:00Z</dcterms:created>
  <dc:creator>gf</dc:creator>
  <cp:lastModifiedBy>gf</cp:lastModifiedBy>
  <dcterms:modified xsi:type="dcterms:W3CDTF">2021-03-17T09:00:13Z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