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b w:val="0"/>
          <w:bCs w:val="0"/>
          <w:sz w:val="44"/>
          <w:szCs w:val="44"/>
          <w:lang w:eastAsia="zh-CN"/>
        </w:rPr>
      </w:pPr>
      <w:r>
        <w:rPr>
          <w:rFonts w:hint="eastAsia" w:ascii="方正小标宋简体" w:eastAsia="方正小标宋简体"/>
          <w:b w:val="0"/>
          <w:bCs w:val="0"/>
          <w:sz w:val="44"/>
          <w:szCs w:val="44"/>
          <w:lang w:eastAsia="zh-CN"/>
        </w:rPr>
        <w:t>邢台市农业科学研究院</w:t>
      </w:r>
    </w:p>
    <w:p>
      <w:pPr>
        <w:jc w:val="center"/>
        <w:rPr>
          <w:rFonts w:hint="eastAsia" w:ascii="方正小标宋简体" w:eastAsia="方正小标宋简体"/>
          <w:b w:val="0"/>
          <w:bCs w:val="0"/>
          <w:sz w:val="44"/>
          <w:szCs w:val="44"/>
        </w:rPr>
      </w:pPr>
      <w:r>
        <w:rPr>
          <w:rFonts w:hint="eastAsia" w:ascii="方正小标宋简体" w:eastAsia="方正小标宋简体"/>
          <w:b w:val="0"/>
          <w:bCs w:val="0"/>
          <w:sz w:val="44"/>
          <w:szCs w:val="44"/>
          <w:lang w:val="en-US" w:eastAsia="zh-CN"/>
        </w:rPr>
        <w:t>2019年</w:t>
      </w:r>
      <w:r>
        <w:rPr>
          <w:rFonts w:hint="eastAsia" w:ascii="方正小标宋简体" w:eastAsia="方正小标宋简体"/>
          <w:b w:val="0"/>
          <w:bCs w:val="0"/>
          <w:sz w:val="44"/>
          <w:szCs w:val="44"/>
        </w:rPr>
        <w:t>部门整体支出绩效评价报告</w:t>
      </w:r>
    </w:p>
    <w:p>
      <w:pPr>
        <w:ind w:firstLine="640" w:firstLineChars="200"/>
        <w:rPr>
          <w:rFonts w:hint="eastAsia" w:ascii="方正小标宋简体" w:eastAsia="方正小标宋简体"/>
          <w:sz w:val="32"/>
          <w:szCs w:val="32"/>
        </w:rPr>
      </w:pPr>
      <w:r>
        <w:rPr>
          <w:rFonts w:hint="eastAsia" w:ascii="方正小标宋简体" w:eastAsia="方正小标宋简体"/>
          <w:sz w:val="32"/>
          <w:szCs w:val="32"/>
        </w:rPr>
        <w:t>一、基本</w:t>
      </w:r>
      <w:r>
        <w:rPr>
          <w:rFonts w:hint="eastAsia" w:ascii="方正小标宋简体" w:eastAsia="方正小标宋简体"/>
          <w:sz w:val="32"/>
          <w:szCs w:val="32"/>
          <w:lang w:eastAsia="zh-CN"/>
        </w:rPr>
        <w:t>概</w:t>
      </w:r>
      <w:r>
        <w:rPr>
          <w:rFonts w:hint="eastAsia" w:ascii="方正小标宋简体" w:eastAsia="方正小标宋简体"/>
          <w:sz w:val="32"/>
          <w:szCs w:val="32"/>
        </w:rPr>
        <w:t>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（一）主要职能</w:t>
      </w:r>
    </w:p>
    <w:p>
      <w:pPr>
        <w:spacing w:line="540" w:lineRule="exact"/>
        <w:ind w:firstLine="640" w:firstLineChars="200"/>
        <w:jc w:val="left"/>
        <w:rPr>
          <w:rFonts w:hint="eastAsia" w:ascii="仿宋_GB2312" w:eastAsia="仿宋_GB2312"/>
          <w:sz w:val="32"/>
          <w:szCs w:val="32"/>
        </w:rPr>
      </w:pPr>
      <w:r>
        <w:rPr>
          <w:rFonts w:hint="eastAsia" w:ascii="仿宋_GB2312" w:eastAsia="仿宋_GB2312"/>
          <w:sz w:val="32"/>
          <w:szCs w:val="32"/>
        </w:rPr>
        <w:t>邢台市农业科学研究院始建于1961年，是邢台市唯一的县处级农业科研机构，</w:t>
      </w:r>
      <w:r>
        <w:rPr>
          <w:rFonts w:hint="eastAsia" w:ascii="仿宋_GB2312" w:eastAsia="仿宋_GB2312"/>
          <w:sz w:val="32"/>
          <w:szCs w:val="32"/>
          <w:lang w:eastAsia="zh-CN"/>
        </w:rPr>
        <w:t>为公益一类事业单位。</w:t>
      </w:r>
      <w:r>
        <w:rPr>
          <w:rFonts w:hint="eastAsia" w:ascii="仿宋_GB2312" w:eastAsia="仿宋_GB2312"/>
          <w:sz w:val="32"/>
          <w:szCs w:val="32"/>
        </w:rPr>
        <w:t xml:space="preserve">主要进行小麦、玉米、花生、棉花、林果、花卉、蔬菜引、育种和栽培技术研究；从事家禽、家畜良种繁育和养殖技术研究；开展太行山区域治理；抓好新品种、新技术引进、示范和推广。主要职能有：                                     </w:t>
      </w:r>
    </w:p>
    <w:p>
      <w:pPr>
        <w:spacing w:line="540" w:lineRule="exact"/>
        <w:ind w:firstLine="640" w:firstLineChars="200"/>
        <w:jc w:val="left"/>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开展涉及全市农业生产的重大、关键性农业科学技术基础研究、应用研究、开发研究以及宏观农业研究。</w:t>
      </w:r>
    </w:p>
    <w:p>
      <w:pPr>
        <w:spacing w:line="540" w:lineRule="exact"/>
        <w:ind w:firstLine="640" w:firstLineChars="200"/>
        <w:jc w:val="left"/>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承担国家和省、市重大农业科学技术的研究课题，接受横向委托的重大农业科学技术的研究课题，组织全市农业科研协作。</w:t>
      </w:r>
    </w:p>
    <w:p>
      <w:pPr>
        <w:spacing w:line="540" w:lineRule="exact"/>
        <w:ind w:firstLine="640" w:firstLineChars="200"/>
        <w:jc w:val="left"/>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开展农业新品种、新技术等科技成果示范推广和科技下乡等科技服务工作，推进科技兴农和农业产业化经营，为农民提供及时、有效的农业科技信息，培养新农民。</w:t>
      </w:r>
    </w:p>
    <w:p>
      <w:pPr>
        <w:spacing w:line="540" w:lineRule="exact"/>
        <w:ind w:firstLine="640" w:firstLineChars="200"/>
        <w:jc w:val="left"/>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引进农业科研学科带头人，培养中青年科技骨干，建立农业科技创新人才梯队。</w:t>
      </w:r>
    </w:p>
    <w:p>
      <w:pPr>
        <w:spacing w:line="540" w:lineRule="exact"/>
        <w:ind w:firstLine="640" w:firstLineChars="200"/>
        <w:jc w:val="left"/>
        <w:rPr>
          <w:rFonts w:hint="eastAsia"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参与本市农业突发性自然灾害的灾情调查，并提出切实可行的抗灾、减灾措施。</w:t>
      </w:r>
    </w:p>
    <w:p>
      <w:pPr>
        <w:spacing w:line="540" w:lineRule="exact"/>
        <w:ind w:firstLine="640" w:firstLineChars="200"/>
        <w:jc w:val="left"/>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承办市委、市政府交办的其他事项。</w:t>
      </w:r>
    </w:p>
    <w:p>
      <w:pPr>
        <w:tabs>
          <w:tab w:val="left" w:pos="1395"/>
        </w:tabs>
        <w:spacing w:line="540" w:lineRule="exact"/>
        <w:ind w:firstLine="640" w:firstLineChars="200"/>
        <w:rPr>
          <w:rFonts w:hint="eastAsia" w:ascii="仿宋_GB2312" w:hAnsi="仿宋_GB2312" w:eastAsia="仿宋_GB2312" w:cs="黑体"/>
          <w:b w:val="0"/>
          <w:bCs/>
          <w:kern w:val="0"/>
          <w:sz w:val="32"/>
          <w:szCs w:val="32"/>
        </w:rPr>
      </w:pPr>
      <w:r>
        <w:rPr>
          <w:rFonts w:hint="eastAsia" w:ascii="仿宋" w:hAnsi="仿宋" w:eastAsia="仿宋" w:cs="仿宋"/>
          <w:sz w:val="32"/>
          <w:szCs w:val="32"/>
          <w:lang w:val="en-US" w:eastAsia="zh-CN"/>
        </w:rPr>
        <w:t>（二）组织架构</w:t>
      </w:r>
      <w:r>
        <w:rPr>
          <w:rFonts w:hint="eastAsia" w:ascii="仿宋_GB2312" w:hAnsi="仿宋_GB2312" w:eastAsia="仿宋_GB2312" w:cs="黑体"/>
          <w:b w:val="0"/>
          <w:bCs/>
          <w:kern w:val="0"/>
          <w:sz w:val="32"/>
          <w:szCs w:val="32"/>
        </w:rPr>
        <w:t xml:space="preserve"> </w:t>
      </w:r>
    </w:p>
    <w:p>
      <w:pPr>
        <w:widowControl/>
        <w:spacing w:line="420" w:lineRule="atLeast"/>
        <w:ind w:firstLine="645"/>
        <w:jc w:val="left"/>
        <w:rPr>
          <w:rFonts w:hint="eastAsia" w:ascii="方正小标宋简体" w:eastAsia="方正小标宋简体"/>
          <w:sz w:val="32"/>
          <w:szCs w:val="32"/>
        </w:rPr>
      </w:pPr>
      <w:r>
        <w:rPr>
          <w:rFonts w:hint="eastAsia" w:ascii="仿宋_GB2312" w:hAnsi="仿宋_GB2312" w:eastAsia="仿宋_GB2312"/>
          <w:kern w:val="0"/>
          <w:sz w:val="32"/>
          <w:szCs w:val="32"/>
        </w:rPr>
        <w:t>邢台市农业科学研究院</w:t>
      </w:r>
      <w:r>
        <w:rPr>
          <w:rFonts w:hint="eastAsia" w:ascii="仿宋_GB2312" w:hAnsi="仿宋_GB2312" w:eastAsia="仿宋_GB2312"/>
          <w:kern w:val="0"/>
          <w:sz w:val="32"/>
          <w:szCs w:val="32"/>
          <w:lang w:eastAsia="zh-CN"/>
        </w:rPr>
        <w:t>单位性质为事业，单位规格为正处级，经费保障形式为财政性资金基本保证，</w:t>
      </w:r>
      <w:r>
        <w:rPr>
          <w:rFonts w:hint="eastAsia" w:ascii="仿宋_GB2312" w:hAnsi="仿宋_GB2312" w:eastAsia="仿宋_GB2312"/>
          <w:kern w:val="0"/>
          <w:sz w:val="32"/>
          <w:szCs w:val="32"/>
        </w:rPr>
        <w:t>部门机构设置情况如下，</w:t>
      </w:r>
      <w:r>
        <w:rPr>
          <w:rFonts w:hint="eastAsia" w:ascii="仿宋_GB2312" w:hAnsi="仿宋" w:eastAsia="仿宋_GB2312" w:cs="仿宋"/>
          <w:sz w:val="32"/>
          <w:szCs w:val="32"/>
        </w:rPr>
        <w:t>内设9个处室：办公室、人事处、财务处、科管处、粮食作物研究所、经济作物研究所、林果研究所、畜牧研究所、农试场。</w:t>
      </w:r>
    </w:p>
    <w:p>
      <w:pPr>
        <w:numPr>
          <w:ilvl w:val="0"/>
          <w:numId w:val="0"/>
        </w:numPr>
        <w:spacing w:line="520" w:lineRule="exact"/>
        <w:ind w:firstLine="640" w:firstLineChars="200"/>
        <w:rPr>
          <w:rFonts w:hint="eastAsia" w:ascii="仿宋" w:hAnsi="仿宋" w:eastAsia="仿宋" w:cs="仿宋"/>
          <w:color w:val="auto"/>
          <w:sz w:val="32"/>
          <w:szCs w:val="32"/>
        </w:rPr>
      </w:pPr>
      <w:r>
        <w:rPr>
          <w:rFonts w:hint="eastAsia" w:ascii="仿宋" w:hAnsi="仿宋" w:eastAsia="仿宋" w:cs="仿宋"/>
          <w:sz w:val="32"/>
          <w:szCs w:val="32"/>
          <w:lang w:eastAsia="zh-CN"/>
        </w:rPr>
        <w:t>（三）</w:t>
      </w:r>
      <w:r>
        <w:rPr>
          <w:rFonts w:hint="eastAsia" w:ascii="仿宋" w:hAnsi="仿宋" w:eastAsia="仿宋" w:cs="仿宋"/>
          <w:color w:val="auto"/>
          <w:sz w:val="32"/>
          <w:szCs w:val="32"/>
        </w:rPr>
        <w:t>人员</w:t>
      </w:r>
      <w:r>
        <w:rPr>
          <w:rFonts w:hint="eastAsia" w:ascii="仿宋" w:hAnsi="仿宋" w:eastAsia="仿宋" w:cs="仿宋"/>
          <w:color w:val="auto"/>
          <w:sz w:val="32"/>
          <w:szCs w:val="32"/>
          <w:lang w:eastAsia="zh-CN"/>
        </w:rPr>
        <w:t>及资产</w:t>
      </w:r>
      <w:r>
        <w:rPr>
          <w:rFonts w:hint="eastAsia" w:ascii="仿宋" w:hAnsi="仿宋" w:eastAsia="仿宋" w:cs="仿宋"/>
          <w:color w:val="auto"/>
          <w:sz w:val="32"/>
          <w:szCs w:val="32"/>
        </w:rPr>
        <w:t>情况</w:t>
      </w:r>
    </w:p>
    <w:p>
      <w:pPr>
        <w:numPr>
          <w:ilvl w:val="0"/>
          <w:numId w:val="0"/>
        </w:numPr>
        <w:spacing w:line="52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定编85人，年末实有7</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人，</w:t>
      </w:r>
      <w:r>
        <w:rPr>
          <w:rFonts w:hint="eastAsia" w:ascii="仿宋_GB2312" w:eastAsia="仿宋_GB2312"/>
          <w:color w:val="auto"/>
          <w:sz w:val="32"/>
          <w:szCs w:val="32"/>
          <w:lang w:val="en-US" w:eastAsia="zh-CN"/>
        </w:rPr>
        <w:t>(其中包括农试场经费自理人员5人)，</w:t>
      </w:r>
      <w:r>
        <w:rPr>
          <w:rFonts w:hint="eastAsia" w:ascii="仿宋_GB2312" w:eastAsia="仿宋_GB2312"/>
          <w:color w:val="auto"/>
          <w:sz w:val="32"/>
          <w:szCs w:val="32"/>
        </w:rPr>
        <w:t>离休1人，退休40人。</w:t>
      </w:r>
    </w:p>
    <w:p>
      <w:pPr>
        <w:numPr>
          <w:ilvl w:val="0"/>
          <w:numId w:val="0"/>
        </w:numPr>
        <w:spacing w:line="520" w:lineRule="exact"/>
        <w:ind w:firstLine="640" w:firstLineChars="200"/>
        <w:rPr>
          <w:rFonts w:hint="eastAsia" w:ascii="仿宋_GB2312" w:hAnsi="仿宋_GB2312" w:eastAsia="仿宋_GB2312"/>
          <w:color w:val="auto"/>
          <w:sz w:val="32"/>
        </w:rPr>
      </w:pPr>
      <w:r>
        <w:rPr>
          <w:rFonts w:hint="eastAsia" w:ascii="仿宋_GB2312" w:hAnsi="仿宋_GB2312" w:eastAsia="仿宋_GB2312"/>
          <w:color w:val="auto"/>
          <w:sz w:val="32"/>
          <w:lang w:eastAsia="zh-CN"/>
        </w:rPr>
        <w:t>我</w:t>
      </w:r>
      <w:r>
        <w:rPr>
          <w:rFonts w:hint="eastAsia" w:ascii="仿宋_GB2312" w:hAnsi="仿宋_GB2312" w:eastAsia="仿宋_GB2312"/>
          <w:color w:val="auto"/>
          <w:sz w:val="32"/>
        </w:rPr>
        <w:t>院</w:t>
      </w:r>
      <w:r>
        <w:rPr>
          <w:rFonts w:hint="eastAsia" w:ascii="仿宋_GB2312" w:hAnsi="仿宋_GB2312" w:eastAsia="仿宋_GB2312"/>
          <w:color w:val="auto"/>
          <w:sz w:val="32"/>
          <w:lang w:val="en-US" w:eastAsia="zh-CN"/>
        </w:rPr>
        <w:t>2019</w:t>
      </w:r>
      <w:r>
        <w:rPr>
          <w:rFonts w:hint="eastAsia" w:ascii="仿宋_GB2312" w:hAnsi="仿宋_GB2312" w:eastAsia="仿宋_GB2312"/>
          <w:color w:val="auto"/>
          <w:sz w:val="32"/>
        </w:rPr>
        <w:t>年末货币资金2618084.14元，财政应返还额度287685.84元，财政应返还额度68619元，房屋5385065元。车辆606400元。与上年度相比，货币资金增加412162.01元，增加幅度18.68%，主要因为其他收入增加。车辆比上年减少772996元，减少56.04%，主要是因为车辆报废。同时，项目经费本年底有结余，转入财政应返还额度68619元，上年结余财政补助结转项目经费支出28765.84元，本年末结转经费比上年末减少76.15%，总资产相对增加。</w:t>
      </w:r>
    </w:p>
    <w:p>
      <w:pPr>
        <w:numPr>
          <w:ilvl w:val="0"/>
          <w:numId w:val="1"/>
        </w:numPr>
        <w:spacing w:line="52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部门履职总体目标</w:t>
      </w:r>
    </w:p>
    <w:p>
      <w:pPr>
        <w:numPr>
          <w:ilvl w:val="0"/>
          <w:numId w:val="0"/>
        </w:numPr>
        <w:spacing w:line="520" w:lineRule="exact"/>
        <w:ind w:firstLine="64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深入学习党的十九大精神，聚焦乡村振兴战略，以推进农业供给侧结构性改革为主线，以目标绩效考核为抓手，加强作风整顿，不断加大科技创新、科技服务力度，全力营造比学赶超、创先争优的干事氛围，高质量发展的内生动力，力争学科特色更鲜明、人才结构更合理，推动全院各项工作提档升级、全面进步，为建成省内一流农科院，为邢台现代农业发展提供强有力的科技引领和支撑作用。</w:t>
      </w:r>
    </w:p>
    <w:p>
      <w:pPr>
        <w:numPr>
          <w:ilvl w:val="0"/>
          <w:numId w:val="1"/>
        </w:num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年度整体绩效目标</w:t>
      </w:r>
    </w:p>
    <w:p>
      <w:pPr>
        <w:keepNext w:val="0"/>
        <w:keepLines w:val="0"/>
        <w:pageBreakBefore w:val="0"/>
        <w:kinsoku/>
        <w:wordWrap/>
        <w:autoSpaceDE/>
        <w:autoSpaceDN/>
        <w:bidi w:val="0"/>
        <w:adjustRightInd/>
        <w:snapToGrid w:val="0"/>
        <w:spacing w:before="0" w:beforeLines="0" w:after="0" w:afterLines="0" w:line="560" w:lineRule="exact"/>
        <w:ind w:right="0" w:rightChars="0" w:firstLine="640" w:firstLineChars="200"/>
        <w:textAlignment w:val="auto"/>
        <w:rPr>
          <w:rFonts w:hint="eastAsia" w:ascii="仿宋" w:hAnsi="仿宋" w:eastAsia="仿宋" w:cs="仿宋"/>
          <w:b w:val="0"/>
          <w:bCs w:val="0"/>
          <w:color w:val="auto"/>
          <w:kern w:val="2"/>
          <w:sz w:val="32"/>
          <w:szCs w:val="32"/>
          <w:lang w:val="en-US" w:eastAsia="zh-CN"/>
        </w:rPr>
      </w:pPr>
      <w:r>
        <w:rPr>
          <w:rFonts w:hint="eastAsia" w:ascii="仿宋" w:hAnsi="仿宋" w:eastAsia="仿宋" w:cs="仿宋"/>
          <w:b w:val="0"/>
          <w:bCs w:val="0"/>
          <w:color w:val="auto"/>
          <w:kern w:val="2"/>
          <w:sz w:val="32"/>
          <w:szCs w:val="32"/>
          <w:lang w:val="en-US" w:eastAsia="zh-CN"/>
        </w:rPr>
        <w:t>经院学术委员会评估和财务处汇总，2019年度部门整体支出绩效目标设定如下：</w:t>
      </w:r>
    </w:p>
    <w:tbl>
      <w:tblPr>
        <w:tblStyle w:val="5"/>
        <w:tblW w:w="10365" w:type="dxa"/>
        <w:jc w:val="center"/>
        <w:tblInd w:w="-632" w:type="dxa"/>
        <w:shd w:val="clear" w:color="auto" w:fill="auto"/>
        <w:tblLayout w:type="fixed"/>
        <w:tblCellMar>
          <w:top w:w="0" w:type="dxa"/>
          <w:left w:w="0" w:type="dxa"/>
          <w:bottom w:w="0" w:type="dxa"/>
          <w:right w:w="0" w:type="dxa"/>
        </w:tblCellMar>
      </w:tblPr>
      <w:tblGrid>
        <w:gridCol w:w="1080"/>
        <w:gridCol w:w="1023"/>
        <w:gridCol w:w="653"/>
        <w:gridCol w:w="1080"/>
        <w:gridCol w:w="1080"/>
        <w:gridCol w:w="1080"/>
        <w:gridCol w:w="1080"/>
        <w:gridCol w:w="388"/>
        <w:gridCol w:w="1080"/>
        <w:gridCol w:w="741"/>
        <w:gridCol w:w="1080"/>
      </w:tblGrid>
      <w:tr>
        <w:tblPrEx>
          <w:shd w:val="clear" w:color="auto" w:fill="auto"/>
          <w:tblLayout w:type="fixed"/>
          <w:tblCellMar>
            <w:top w:w="0" w:type="dxa"/>
            <w:left w:w="0" w:type="dxa"/>
            <w:bottom w:w="0" w:type="dxa"/>
            <w:right w:w="0" w:type="dxa"/>
          </w:tblCellMar>
        </w:tblPrEx>
        <w:trPr>
          <w:trHeight w:val="340" w:hRule="atLeast"/>
          <w:jc w:val="center"/>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r>
              <w:rPr>
                <w:rFonts w:hint="eastAsia" w:ascii="宋体" w:hAnsi="宋体" w:eastAsia="宋体" w:cs="宋体"/>
                <w:i w:val="0"/>
                <w:color w:val="333333"/>
                <w:kern w:val="0"/>
                <w:sz w:val="22"/>
                <w:szCs w:val="22"/>
                <w:u w:val="none"/>
                <w:lang w:val="en-US" w:eastAsia="zh-CN" w:bidi="ar"/>
              </w:rPr>
              <w:t>部门名称</w:t>
            </w:r>
          </w:p>
        </w:tc>
        <w:tc>
          <w:tcPr>
            <w:tcW w:w="9285"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邢台市农业科学研究院</w:t>
            </w:r>
          </w:p>
        </w:tc>
      </w:tr>
      <w:tr>
        <w:tblPrEx>
          <w:tblLayout w:type="fixed"/>
          <w:tblCellMar>
            <w:top w:w="0" w:type="dxa"/>
            <w:left w:w="0" w:type="dxa"/>
            <w:bottom w:w="0" w:type="dxa"/>
            <w:right w:w="0" w:type="dxa"/>
          </w:tblCellMar>
        </w:tblPrEx>
        <w:trPr>
          <w:trHeight w:val="34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r>
              <w:rPr>
                <w:rFonts w:hint="eastAsia" w:ascii="宋体" w:hAnsi="宋体" w:eastAsia="宋体" w:cs="宋体"/>
                <w:i w:val="0"/>
                <w:color w:val="333333"/>
                <w:kern w:val="0"/>
                <w:sz w:val="22"/>
                <w:szCs w:val="22"/>
                <w:u w:val="none"/>
                <w:lang w:val="en-US" w:eastAsia="zh-CN" w:bidi="ar"/>
              </w:rPr>
              <w:t>年度预算（万元）</w:t>
            </w:r>
          </w:p>
        </w:tc>
        <w:tc>
          <w:tcPr>
            <w:tcW w:w="9285"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年度收入预算</w:t>
            </w: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333333"/>
                <w:sz w:val="22"/>
                <w:szCs w:val="22"/>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r>
              <w:rPr>
                <w:rFonts w:hint="eastAsia" w:ascii="宋体" w:hAnsi="宋体" w:eastAsia="宋体" w:cs="宋体"/>
                <w:i w:val="0"/>
                <w:color w:val="333333"/>
                <w:kern w:val="0"/>
                <w:sz w:val="22"/>
                <w:szCs w:val="22"/>
                <w:u w:val="none"/>
                <w:lang w:val="en-US" w:eastAsia="zh-CN" w:bidi="ar"/>
              </w:rPr>
              <w:t>合计</w:t>
            </w:r>
          </w:p>
        </w:tc>
        <w:tc>
          <w:tcPr>
            <w:tcW w:w="17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一般公共预算拨入</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政府基金预算拨入</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提前告知转移支付</w:t>
            </w:r>
          </w:p>
        </w:tc>
        <w:tc>
          <w:tcPr>
            <w:tcW w:w="38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上年结转</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p>
        </w:tc>
        <w:tc>
          <w:tcPr>
            <w:tcW w:w="18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其它收入（含经营收入）</w:t>
            </w: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333333"/>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333333"/>
                <w:sz w:val="22"/>
                <w:szCs w:val="22"/>
                <w:u w:val="none"/>
              </w:rPr>
            </w:pPr>
          </w:p>
        </w:tc>
        <w:tc>
          <w:tcPr>
            <w:tcW w:w="17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自筹</w:t>
            </w:r>
          </w:p>
        </w:tc>
        <w:tc>
          <w:tcPr>
            <w:tcW w:w="18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333333"/>
                <w:sz w:val="22"/>
                <w:szCs w:val="22"/>
                <w:u w:val="none"/>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r>
              <w:rPr>
                <w:rFonts w:hint="eastAsia" w:ascii="宋体" w:hAnsi="宋体" w:eastAsia="宋体" w:cs="宋体"/>
                <w:i w:val="0"/>
                <w:color w:val="333333"/>
                <w:kern w:val="0"/>
                <w:sz w:val="22"/>
                <w:szCs w:val="22"/>
                <w:u w:val="none"/>
                <w:lang w:val="en-US" w:eastAsia="zh-CN" w:bidi="ar"/>
              </w:rPr>
              <w:t>1194.51</w:t>
            </w:r>
          </w:p>
        </w:tc>
        <w:tc>
          <w:tcPr>
            <w:tcW w:w="17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1194.51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333333"/>
                <w:sz w:val="22"/>
                <w:szCs w:val="22"/>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333333"/>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333333"/>
                <w:sz w:val="22"/>
                <w:szCs w:val="22"/>
                <w:u w:val="none"/>
              </w:rPr>
            </w:pP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333333"/>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333333"/>
                <w:sz w:val="22"/>
                <w:szCs w:val="22"/>
                <w:u w:val="none"/>
              </w:rPr>
            </w:pPr>
          </w:p>
        </w:tc>
        <w:tc>
          <w:tcPr>
            <w:tcW w:w="9285"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年度支出预算</w:t>
            </w: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333333"/>
                <w:sz w:val="22"/>
                <w:szCs w:val="22"/>
                <w:u w:val="none"/>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r>
              <w:rPr>
                <w:rFonts w:hint="eastAsia" w:ascii="宋体" w:hAnsi="宋体" w:eastAsia="宋体" w:cs="宋体"/>
                <w:i w:val="0"/>
                <w:color w:val="333333"/>
                <w:kern w:val="0"/>
                <w:sz w:val="22"/>
                <w:szCs w:val="22"/>
                <w:u w:val="none"/>
                <w:lang w:val="en-US" w:eastAsia="zh-CN" w:bidi="ar"/>
              </w:rPr>
              <w:t>合计</w:t>
            </w:r>
          </w:p>
        </w:tc>
        <w:tc>
          <w:tcPr>
            <w:tcW w:w="28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r>
              <w:rPr>
                <w:rFonts w:hint="eastAsia" w:ascii="宋体" w:hAnsi="宋体" w:eastAsia="宋体" w:cs="宋体"/>
                <w:i w:val="0"/>
                <w:color w:val="333333"/>
                <w:kern w:val="0"/>
                <w:sz w:val="22"/>
                <w:szCs w:val="22"/>
                <w:u w:val="none"/>
                <w:lang w:val="en-US" w:eastAsia="zh-CN" w:bidi="ar"/>
              </w:rPr>
              <w:t>人员经费支出</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r>
              <w:rPr>
                <w:rFonts w:hint="eastAsia" w:ascii="宋体" w:hAnsi="宋体" w:eastAsia="宋体" w:cs="宋体"/>
                <w:i w:val="0"/>
                <w:color w:val="333333"/>
                <w:kern w:val="0"/>
                <w:sz w:val="22"/>
                <w:szCs w:val="22"/>
                <w:u w:val="none"/>
                <w:lang w:val="en-US" w:eastAsia="zh-CN" w:bidi="ar"/>
              </w:rPr>
              <w:t>正常公用支出</w:t>
            </w:r>
          </w:p>
        </w:tc>
        <w:tc>
          <w:tcPr>
            <w:tcW w:w="14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r>
              <w:rPr>
                <w:rFonts w:hint="eastAsia" w:ascii="宋体" w:hAnsi="宋体" w:eastAsia="宋体" w:cs="宋体"/>
                <w:i w:val="0"/>
                <w:color w:val="333333"/>
                <w:kern w:val="0"/>
                <w:sz w:val="22"/>
                <w:szCs w:val="22"/>
                <w:u w:val="none"/>
                <w:lang w:val="en-US" w:eastAsia="zh-CN" w:bidi="ar"/>
              </w:rPr>
              <w:t>项目支出</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r>
              <w:rPr>
                <w:rFonts w:hint="eastAsia" w:ascii="宋体" w:hAnsi="宋体" w:eastAsia="宋体" w:cs="宋体"/>
                <w:i w:val="0"/>
                <w:color w:val="333333"/>
                <w:kern w:val="0"/>
                <w:sz w:val="22"/>
                <w:szCs w:val="22"/>
                <w:u w:val="none"/>
                <w:lang w:val="en-US" w:eastAsia="zh-CN" w:bidi="ar"/>
              </w:rPr>
              <w:t>其它支出</w:t>
            </w: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333333"/>
                <w:sz w:val="22"/>
                <w:szCs w:val="22"/>
                <w:u w:val="none"/>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r>
              <w:rPr>
                <w:rFonts w:hint="eastAsia" w:ascii="宋体" w:hAnsi="宋体" w:eastAsia="宋体" w:cs="宋体"/>
                <w:i w:val="0"/>
                <w:color w:val="333333"/>
                <w:kern w:val="0"/>
                <w:sz w:val="22"/>
                <w:szCs w:val="22"/>
                <w:u w:val="none"/>
                <w:lang w:val="en-US" w:eastAsia="zh-CN" w:bidi="ar"/>
              </w:rPr>
              <w:t>1194.51</w:t>
            </w:r>
          </w:p>
        </w:tc>
        <w:tc>
          <w:tcPr>
            <w:tcW w:w="28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r>
              <w:rPr>
                <w:rFonts w:hint="eastAsia" w:ascii="宋体" w:hAnsi="宋体" w:eastAsia="宋体" w:cs="宋体"/>
                <w:i w:val="0"/>
                <w:color w:val="333333"/>
                <w:kern w:val="0"/>
                <w:sz w:val="22"/>
                <w:szCs w:val="22"/>
                <w:u w:val="none"/>
                <w:lang w:val="en-US" w:eastAsia="zh-CN" w:bidi="ar"/>
              </w:rPr>
              <w:t>978.78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r>
              <w:rPr>
                <w:rFonts w:hint="eastAsia" w:ascii="宋体" w:hAnsi="宋体" w:eastAsia="宋体" w:cs="宋体"/>
                <w:i w:val="0"/>
                <w:color w:val="333333"/>
                <w:kern w:val="0"/>
                <w:sz w:val="22"/>
                <w:szCs w:val="22"/>
                <w:u w:val="none"/>
                <w:lang w:val="en-US" w:eastAsia="zh-CN" w:bidi="ar"/>
              </w:rPr>
              <w:t>105.73</w:t>
            </w:r>
          </w:p>
        </w:tc>
        <w:tc>
          <w:tcPr>
            <w:tcW w:w="14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r>
              <w:rPr>
                <w:rFonts w:hint="eastAsia" w:ascii="宋体" w:hAnsi="宋体" w:eastAsia="宋体" w:cs="宋体"/>
                <w:i w:val="0"/>
                <w:color w:val="333333"/>
                <w:kern w:val="0"/>
                <w:sz w:val="22"/>
                <w:szCs w:val="22"/>
                <w:u w:val="none"/>
                <w:lang w:val="en-US" w:eastAsia="zh-CN" w:bidi="ar"/>
              </w:rPr>
              <w:t>110</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333333"/>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年度整体支出绩效目标</w:t>
            </w:r>
          </w:p>
        </w:tc>
        <w:tc>
          <w:tcPr>
            <w:tcW w:w="9285"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2020年收支预算内，确保完成以下整体目标：</w:t>
            </w:r>
          </w:p>
        </w:tc>
      </w:tr>
      <w:tr>
        <w:tblPrEx>
          <w:tblLayout w:type="fixed"/>
          <w:tblCellMar>
            <w:top w:w="0" w:type="dxa"/>
            <w:left w:w="0" w:type="dxa"/>
            <w:bottom w:w="0" w:type="dxa"/>
            <w:right w:w="0" w:type="dxa"/>
          </w:tblCellMar>
        </w:tblPrEx>
        <w:trPr>
          <w:trHeight w:val="10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285"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搞好基础研究，不断提升农业科技创新能力，为应用技术研究提供支撑，确保农业科研事业可持续发展。通过开展各级重大农业专项研究，结合新技术、新产品的引进集成和中试开发，建立以自研成果为主体的综合农业科技成果展示基地，通过新技术成果的展示和辐射，带动全市的农业技术推广，以支撑和推动全市农业发展。</w:t>
            </w:r>
          </w:p>
        </w:tc>
      </w:tr>
      <w:tr>
        <w:tblPrEx>
          <w:tblLayout w:type="fixed"/>
          <w:tblCellMar>
            <w:top w:w="0" w:type="dxa"/>
            <w:left w:w="0" w:type="dxa"/>
            <w:bottom w:w="0" w:type="dxa"/>
            <w:right w:w="0" w:type="dxa"/>
          </w:tblCellMar>
        </w:tblPrEx>
        <w:trPr>
          <w:trHeight w:val="34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2"/>
                <w:szCs w:val="22"/>
                <w:u w:val="none"/>
              </w:rPr>
            </w:pPr>
            <w:r>
              <w:rPr>
                <w:rFonts w:hint="eastAsia" w:ascii="宋体" w:hAnsi="宋体" w:eastAsia="宋体" w:cs="宋体"/>
                <w:i w:val="0"/>
                <w:color w:val="333333"/>
                <w:kern w:val="0"/>
                <w:sz w:val="22"/>
                <w:szCs w:val="22"/>
                <w:u w:val="none"/>
                <w:lang w:val="en-US" w:eastAsia="zh-CN" w:bidi="ar"/>
              </w:rPr>
              <w:t>绩效目标设立依据</w:t>
            </w:r>
          </w:p>
        </w:tc>
        <w:tc>
          <w:tcPr>
            <w:tcW w:w="9285"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r>
              <w:rPr>
                <w:rFonts w:hint="eastAsia" w:ascii="宋体" w:hAnsi="宋体" w:eastAsia="宋体" w:cs="宋体"/>
                <w:i w:val="0"/>
                <w:color w:val="333333"/>
                <w:kern w:val="0"/>
                <w:sz w:val="22"/>
                <w:szCs w:val="22"/>
                <w:u w:val="none"/>
                <w:lang w:val="en-US" w:eastAsia="zh-CN" w:bidi="ar"/>
              </w:rPr>
              <w:t>《邢台市机构编制委员会办公室关于印发市农业科学研究院机构编制方案的通知》</w:t>
            </w: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333333"/>
                <w:sz w:val="22"/>
                <w:szCs w:val="22"/>
                <w:u w:val="none"/>
              </w:rPr>
            </w:pPr>
          </w:p>
        </w:tc>
        <w:tc>
          <w:tcPr>
            <w:tcW w:w="9285"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r>
              <w:rPr>
                <w:rFonts w:hint="eastAsia" w:ascii="宋体" w:hAnsi="宋体" w:eastAsia="宋体" w:cs="宋体"/>
                <w:i w:val="0"/>
                <w:color w:val="333333"/>
                <w:kern w:val="0"/>
                <w:sz w:val="22"/>
                <w:szCs w:val="22"/>
                <w:u w:val="none"/>
                <w:lang w:val="en-US" w:eastAsia="zh-CN" w:bidi="ar"/>
              </w:rPr>
              <w:t>《邢台市农业科学研究院2019年工作思路》</w:t>
            </w:r>
          </w:p>
        </w:tc>
      </w:tr>
      <w:tr>
        <w:tblPrEx>
          <w:tblLayout w:type="fixed"/>
          <w:tblCellMar>
            <w:top w:w="0" w:type="dxa"/>
            <w:left w:w="0" w:type="dxa"/>
            <w:bottom w:w="0" w:type="dxa"/>
            <w:right w:w="0" w:type="dxa"/>
          </w:tblCellMar>
        </w:tblPrEx>
        <w:trPr>
          <w:trHeight w:val="825" w:hRule="atLeast"/>
          <w:jc w:val="center"/>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年度整体支出目标</w:t>
            </w:r>
          </w:p>
        </w:tc>
        <w:tc>
          <w:tcPr>
            <w:tcW w:w="9285"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紧紧围绕自主创新，重点跨越，协同发展，引领未来的发展战略，理清创新思路，转变创新观念，明确创新方向，突出创新重点，激活创新活力，提升创新成果，为推进全市现代农业发展提供强有力的科技支撑。</w:t>
            </w:r>
          </w:p>
        </w:tc>
      </w:tr>
      <w:tr>
        <w:tblPrEx>
          <w:tblLayout w:type="fixed"/>
          <w:tblCellMar>
            <w:top w:w="0" w:type="dxa"/>
            <w:left w:w="0" w:type="dxa"/>
            <w:bottom w:w="0" w:type="dxa"/>
            <w:right w:w="0" w:type="dxa"/>
          </w:tblCellMar>
        </w:tblPrEx>
        <w:trPr>
          <w:trHeight w:val="34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整体支出绩效指标</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eastAsia="zh-CN"/>
              </w:rPr>
            </w:pPr>
            <w:r>
              <w:rPr>
                <w:rFonts w:hint="eastAsia" w:ascii="宋体" w:hAnsi="宋体" w:eastAsia="宋体" w:cs="宋体"/>
                <w:i w:val="0"/>
                <w:color w:val="000000"/>
                <w:sz w:val="22"/>
                <w:szCs w:val="22"/>
                <w:u w:val="none"/>
              </w:rPr>
              <w:t>绿景观树种在邢台市园林绿化中的应用研究</w:t>
            </w:r>
            <w:r>
              <w:rPr>
                <w:rFonts w:hint="eastAsia" w:ascii="宋体" w:hAnsi="宋体" w:eastAsia="宋体" w:cs="宋体"/>
                <w:i w:val="0"/>
                <w:color w:val="000000"/>
                <w:sz w:val="22"/>
                <w:szCs w:val="22"/>
                <w:u w:val="none"/>
                <w:lang w:eastAsia="zh-CN"/>
              </w:rPr>
              <w:t>（</w:t>
            </w:r>
            <w:r>
              <w:rPr>
                <w:rFonts w:hint="eastAsia" w:ascii="宋体" w:hAnsi="宋体" w:eastAsia="宋体" w:cs="宋体"/>
                <w:i w:val="0"/>
                <w:color w:val="000000"/>
                <w:sz w:val="22"/>
                <w:szCs w:val="22"/>
                <w:u w:val="none"/>
                <w:lang w:val="en-US" w:eastAsia="zh-CN"/>
              </w:rPr>
              <w:t>10万元</w:t>
            </w:r>
            <w:r>
              <w:rPr>
                <w:rFonts w:hint="eastAsia" w:ascii="宋体" w:hAnsi="宋体" w:eastAsia="宋体" w:cs="宋体"/>
                <w:i w:val="0"/>
                <w:color w:val="000000"/>
                <w:sz w:val="22"/>
                <w:szCs w:val="22"/>
                <w:u w:val="none"/>
                <w:lang w:eastAsia="zh-CN"/>
              </w:rPr>
              <w:t>）</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引种常绿景观树种3个</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8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2019年12月完工</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12月</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项目完工时间</w:t>
            </w: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绩效目标完成率</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6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建立示范点2个</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建立示范点个数</w:t>
            </w: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增加特色景观2个以上</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可持续收益年限5年</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87"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名特优蔬菜新品种引进与示范（10万元）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发放宣传资料100份</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100份</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引进蔬菜新品种5-10个</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≥5个</w:t>
            </w:r>
            <w:bookmarkStart w:id="0" w:name="_GoBack"/>
            <w:bookmarkEnd w:id="0"/>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0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筛选优质品种2-3个</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筛选品种完成数</w:t>
            </w: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建立示范田5亩</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6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2019年12月完工</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12月</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项目完工时间</w:t>
            </w: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发表相关论文1-2篇。</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增效300元/亩以上</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有机肥代替无机化肥</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畜禽养殖废弃物资源化利用应用研究(10万元）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建立科研示范基地1-2个。</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推广1-2项实用技术</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8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2019年12月完工</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12月</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项目完工时间</w:t>
            </w: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减少种植业化肥用量30%</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减少养殖业排污量30%</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0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海南基地危房修缮设施配套及土地租赁（70万元）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水泥混凝土厚度12cm，表面平整，700平米</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≥700平米</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晒场面积</w:t>
            </w:r>
          </w:p>
        </w:tc>
      </w:tr>
      <w:tr>
        <w:tblPrEx>
          <w:tblLayout w:type="fixed"/>
          <w:tblCellMar>
            <w:top w:w="0" w:type="dxa"/>
            <w:left w:w="0" w:type="dxa"/>
            <w:bottom w:w="0" w:type="dxa"/>
            <w:right w:w="0" w:type="dxa"/>
          </w:tblCellMar>
        </w:tblPrEx>
        <w:trPr>
          <w:trHeight w:val="30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围墙铁艺栏杆，高度2.5米,长度约60米</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≥60米</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0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晾棚农机具棚半开放普通钢架彩钢顶，60平米</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≥60平米</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晾棚农机具棚挂藏面积</w:t>
            </w:r>
          </w:p>
        </w:tc>
      </w:tr>
      <w:tr>
        <w:tblPrEx>
          <w:tblLayout w:type="fixed"/>
          <w:tblCellMar>
            <w:top w:w="0" w:type="dxa"/>
            <w:left w:w="0" w:type="dxa"/>
            <w:bottom w:w="0" w:type="dxa"/>
            <w:right w:w="0" w:type="dxa"/>
          </w:tblCellMar>
        </w:tblPrEx>
        <w:trPr>
          <w:trHeight w:val="8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简易钢结构活动房，60平米</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≥60平米</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办公用房规格及面积</w:t>
            </w:r>
          </w:p>
        </w:tc>
      </w:tr>
      <w:tr>
        <w:tblPrEx>
          <w:tblLayout w:type="fixed"/>
          <w:tblCellMar>
            <w:top w:w="0" w:type="dxa"/>
            <w:left w:w="0" w:type="dxa"/>
            <w:bottom w:w="0" w:type="dxa"/>
            <w:right w:w="0" w:type="dxa"/>
          </w:tblCellMar>
        </w:tblPrEx>
        <w:trPr>
          <w:trHeight w:val="62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简易钢结构活动房，40平米</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≥40平米</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考种监测室面积</w:t>
            </w:r>
          </w:p>
        </w:tc>
      </w:tr>
      <w:tr>
        <w:tblPrEx>
          <w:tblLayout w:type="fixed"/>
          <w:tblCellMar>
            <w:top w:w="0" w:type="dxa"/>
            <w:left w:w="0" w:type="dxa"/>
            <w:bottom w:w="0" w:type="dxa"/>
            <w:right w:w="0" w:type="dxa"/>
          </w:tblCellMar>
        </w:tblPrEx>
        <w:trPr>
          <w:trHeight w:val="6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简易钢结构活动房，30平米</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≥30平米</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厨房、洗浴室面积</w:t>
            </w: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项目验收合格率</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0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2019年12月完工</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12月</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项目完工时间</w:t>
            </w: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加快育种速度，每年可增加新品种2-3个</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修缮后房屋保证安全期限</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农业科技创新及科技服务（10万元）</w:t>
            </w:r>
          </w:p>
        </w:tc>
        <w:tc>
          <w:tcPr>
            <w:tcW w:w="65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4708"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引进筛选2个以上适宜当地的甘蓝型油菜新品种</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配套栽培技术完成率</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2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2019年12月完工</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12月</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项目完工时间</w:t>
            </w: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较当地每亩增收100-200元</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农业科技创新及科技服务专项经费（40万元）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筛选出酸枣优良品系1-2个</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引进特色花卉品种1-2个</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完成玉米南繁面积7亩</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玉米组配组合700份</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≥700份</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种植玉米自交系600份（含加代材料）</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≥600份</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玉米优良组合制种10份</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≥10份</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玉米生态适应性布点4个</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4个玉米组合参加省级试验</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引进甘薯脱毒苗，食用品种4个</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建立甘薯试验示范基地40亩</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筛选出食用菌优良品种1-2个</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制定优良酸枣栽培技术规范完成率</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特色花卉配套栽培技术完成率</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甘薯脱毒试验完成率</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玉米试验出苗率70%以上</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玉米制种合格率72%以上</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制定食用菌栽培技术规范完成率</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较当地大田甘薯种植模式亩节约用水50立方</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≥50立方</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项目总投资金额</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2019年12月完工</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12月</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项目完工时间</w:t>
            </w: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酸枣技术示范户较一般农户亩均增收85-100元</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技术带动酸枣示范田80-100亩</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6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调动果农发展酸枣产业的积极性，参与酸枣生产人员新增8-15人</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特色花卉种植亩均增加农民收入500元</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花卉配套栽培技术使用年限</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玉米参试品种（普通类）较对照增产3%以上</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玉米新品种推广应用面积</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≥50万亩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玉米年鉴定优良组合不少于10个</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甘薯产量较当地大田增产200kg/亩</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≥200kg/亩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调动甘薯脱毒苗种植的积极性，带动新增种植户10-15人</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辐射带动周边甘薯种植1000亩</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食用菌技术示范户较一般农户生物学效率提高15%</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技术带动食用菌示范棚5亩</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调动菇农的生产积极性，新增食用菌生产者人数10人</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粮油作物新品种推广示范（6万元）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定制棉花科研播种机1套</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1套</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增加科研用工80人</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玉米新品种推广示范面积20亩</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种植玉米新品种5个</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完成成果转化1-2个</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播种机定制及增加科研用工完成率</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2019年12月完工</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12月</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项目完工时间</w:t>
            </w: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棉花新品系较对照增产5%</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玉米示范品种较对照品种增产3%以上</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为棉农推荐抗虫棉新品系2-3个</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发放玉米新品种宣传资料100份以上</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≥100份</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新品种的增产效应可调动60位棉农应用</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≥60位</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7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新增2个玉米新品种应用于生产</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bl>
    <w:p>
      <w:pPr>
        <w:numPr>
          <w:ilvl w:val="0"/>
          <w:numId w:val="0"/>
        </w:numPr>
        <w:spacing w:line="52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（六）工作任务</w:t>
      </w:r>
    </w:p>
    <w:p>
      <w:pPr>
        <w:spacing w:line="500" w:lineRule="exact"/>
        <w:ind w:firstLine="720" w:firstLineChars="225"/>
        <w:rPr>
          <w:rFonts w:hint="eastAsia" w:ascii="仿宋_GB2312" w:eastAsia="仿宋_GB2312"/>
          <w:sz w:val="32"/>
          <w:szCs w:val="32"/>
        </w:rPr>
      </w:pPr>
      <w:r>
        <w:rPr>
          <w:rFonts w:hint="eastAsia" w:ascii="仿宋_GB2312" w:eastAsia="仿宋_GB2312"/>
          <w:sz w:val="32"/>
          <w:szCs w:val="32"/>
        </w:rPr>
        <w:t>围绕全市农业发展目标和技术需求，开展农业科技创新，研发新品种、新技术。搞好基础研究，为应用技术研究提供支撑，为农业科技研究提供装备技术和人才支撑。通过开展各级重大农业专项研究，结合新技术、新产品的引进集成和中试开发，建立以自研成果为主体的综合农业科技成果展示基地；通过新技术成果的展示和辐射，带动全市的农业行业技术推广，以支撑和推动全市农业发展。通过新技术、新产品的转化和产业化，改善农业种养结构，提高农产品产量和质量；通过新技术、新产品的示范和推广，提高农业生产的效率和效益；通过科技下乡活动，提高农业种植、养殖科技水平。</w:t>
      </w: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适应农业发展方式转变的新形势新要求，充分发挥在农业供给侧结构性改革中的引领和支撑作用，主动转方向、调结构、强动力，继续抓好以下7项重点工作：</w:t>
      </w:r>
    </w:p>
    <w:p>
      <w:pPr>
        <w:spacing w:line="560" w:lineRule="exact"/>
        <w:ind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rPr>
        <w:t>1、抓好争资立项工作。瞄准国家、省重点项目，全面落实责任清单，加大申报和跑办力度，积极谋划申报各级各类项目20项以上。重点抓好邢玉11号、邢麦13号后补助等项目的申报。</w:t>
      </w:r>
    </w:p>
    <w:p>
      <w:pPr>
        <w:spacing w:line="560" w:lineRule="exact"/>
        <w:ind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rPr>
        <w:t>2、抓好国家和省市重点项目建设。全力抓好国家重点研发计划、国家小麦产业体系、省冀南油料、邢邯片区水果产业试验站等项目建设，严格督导，加强过程管理，明确进度节点，确保责任上肩、任务具体、推进有序，全面提升项目执行质量。</w:t>
      </w:r>
    </w:p>
    <w:p>
      <w:pPr>
        <w:spacing w:line="560" w:lineRule="exact"/>
        <w:ind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rPr>
        <w:t>3、抓好新品种选育工作。选育参加省级以上试验苗头新品系20个以上。争取3个新品种通过省级以上审定（登记）。</w:t>
      </w:r>
    </w:p>
    <w:p>
      <w:pPr>
        <w:spacing w:line="560" w:lineRule="exact"/>
        <w:ind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rPr>
        <w:t>4、全面提升科技服务水平。结合全市特色农产品优势区建设，打造一批综合性和专业性科技示范基地，扎实搞好科技服务。各研究所至少要建立2个有区域影响力的示范基地。选派“三区”科技人员10人左右到贫困县及深度贫困村，根据产业发展科技需求开展服务，促进脱贫致富产业形成。</w:t>
      </w:r>
    </w:p>
    <w:p>
      <w:pPr>
        <w:spacing w:line="560" w:lineRule="exact"/>
        <w:ind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rPr>
        <w:t>5、依法依规有序推进农试场和南繁基地建设。精心组织，强化措施，严格管理，全面启动农试场整体搬迁和南繁基地修缮工程，着力提高基地的标准化、规范化建设管理水平。</w:t>
      </w:r>
    </w:p>
    <w:p>
      <w:pPr>
        <w:spacing w:line="560" w:lineRule="exact"/>
        <w:ind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rPr>
        <w:t>6、全面加强党的建设。加强党的全面领导，提高党建工作水平，严格落实中心组学习、“三会一课”等制度，全面提高党员干部的政治思想素质。健全党建组织，提高党组织的战斗力和凝聚力。组织开展系列专题活动，创建文明机关。</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b w:val="0"/>
          <w:bCs/>
          <w:sz w:val="32"/>
          <w:szCs w:val="32"/>
        </w:rPr>
        <w:t>7、推进党风廉政建设。加强廉政教育宣传，强化监督执纪问责，推进从严治党。认真落实中央八项规定精神，完善有关制度规定，开展干部作风纪律整治活动，持之以恒纠正“四风”，深入推进党章党纪教育，加强党内政治文化建设，引导干部职工崇廉尚廉、向上向善。</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（七）预算资金安排及资金支出情况</w:t>
      </w:r>
    </w:p>
    <w:p>
      <w:pPr>
        <w:spacing w:line="520" w:lineRule="exact"/>
        <w:ind w:firstLine="640" w:firstLineChars="200"/>
        <w:rPr>
          <w:rFonts w:hint="eastAsia" w:asciiTheme="minorEastAsia" w:hAnsiTheme="minorEastAsia" w:eastAsiaTheme="minorEastAsia" w:cstheme="minorEastAsia"/>
          <w:b w:val="0"/>
          <w:bCs/>
          <w:sz w:val="32"/>
          <w:szCs w:val="32"/>
        </w:rPr>
      </w:pPr>
      <w:r>
        <w:rPr>
          <w:rFonts w:hint="eastAsia" w:asciiTheme="minorEastAsia" w:hAnsiTheme="minorEastAsia" w:cstheme="minorEastAsia"/>
          <w:b w:val="0"/>
          <w:bCs/>
          <w:sz w:val="32"/>
          <w:szCs w:val="32"/>
          <w:lang w:val="en-US" w:eastAsia="zh-CN"/>
        </w:rPr>
        <w:t>1.</w:t>
      </w:r>
      <w:r>
        <w:rPr>
          <w:rFonts w:hint="eastAsia" w:asciiTheme="minorEastAsia" w:hAnsiTheme="minorEastAsia" w:eastAsiaTheme="minorEastAsia" w:cstheme="minorEastAsia"/>
          <w:b w:val="0"/>
          <w:bCs/>
          <w:sz w:val="32"/>
          <w:szCs w:val="32"/>
        </w:rPr>
        <w:t>收入支出预算执行情况</w:t>
      </w:r>
    </w:p>
    <w:p>
      <w:pPr>
        <w:spacing w:line="520" w:lineRule="exact"/>
        <w:ind w:firstLine="66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sz w:val="32"/>
          <w:szCs w:val="32"/>
          <w:lang w:eastAsia="zh-CN"/>
        </w:rPr>
        <w:t>（</w:t>
      </w:r>
      <w:r>
        <w:rPr>
          <w:rFonts w:hint="eastAsia" w:asciiTheme="minorEastAsia" w:hAnsiTheme="minorEastAsia" w:eastAsiaTheme="minorEastAsia" w:cstheme="minorEastAsia"/>
          <w:b w:val="0"/>
          <w:bCs/>
          <w:sz w:val="32"/>
          <w:szCs w:val="32"/>
        </w:rPr>
        <w:t>1</w:t>
      </w:r>
      <w:r>
        <w:rPr>
          <w:rFonts w:hint="eastAsia" w:asciiTheme="minorEastAsia" w:hAnsiTheme="minorEastAsia" w:eastAsiaTheme="minorEastAsia" w:cstheme="minorEastAsia"/>
          <w:b w:val="0"/>
          <w:bCs/>
          <w:sz w:val="32"/>
          <w:szCs w:val="32"/>
          <w:lang w:eastAsia="zh-CN"/>
        </w:rPr>
        <w:t>）</w:t>
      </w:r>
      <w:r>
        <w:rPr>
          <w:rFonts w:hint="eastAsia" w:asciiTheme="minorEastAsia" w:hAnsiTheme="minorEastAsia" w:eastAsiaTheme="minorEastAsia" w:cstheme="minorEastAsia"/>
          <w:b w:val="0"/>
          <w:bCs/>
          <w:sz w:val="32"/>
          <w:szCs w:val="32"/>
        </w:rPr>
        <w:t>收入支出与预算对比分析</w:t>
      </w:r>
    </w:p>
    <w:p>
      <w:pPr>
        <w:ind w:firstLine="627" w:firstLineChars="196"/>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sz w:val="32"/>
          <w:szCs w:val="32"/>
        </w:rPr>
        <w:t>2018年一般公共预算财政拨款预算安排</w:t>
      </w:r>
      <w:r>
        <w:rPr>
          <w:rFonts w:hint="eastAsia" w:asciiTheme="minorEastAsia" w:hAnsiTheme="minorEastAsia" w:eastAsiaTheme="minorEastAsia" w:cstheme="minorEastAsia"/>
          <w:b w:val="0"/>
          <w:bCs/>
          <w:sz w:val="32"/>
          <w:szCs w:val="32"/>
          <w:lang w:val="en-US" w:eastAsia="zh-CN"/>
        </w:rPr>
        <w:t>11945100</w:t>
      </w:r>
      <w:r>
        <w:rPr>
          <w:rFonts w:hint="eastAsia" w:asciiTheme="minorEastAsia" w:hAnsiTheme="minorEastAsia" w:eastAsiaTheme="minorEastAsia" w:cstheme="minorEastAsia"/>
          <w:b w:val="0"/>
          <w:bCs/>
          <w:sz w:val="32"/>
          <w:szCs w:val="32"/>
        </w:rPr>
        <w:t>元，年初结转项目经费</w:t>
      </w:r>
      <w:r>
        <w:rPr>
          <w:rFonts w:hint="eastAsia" w:asciiTheme="minorEastAsia" w:hAnsiTheme="minorEastAsia" w:eastAsiaTheme="minorEastAsia" w:cstheme="minorEastAsia"/>
          <w:b w:val="0"/>
          <w:bCs/>
          <w:sz w:val="32"/>
          <w:szCs w:val="32"/>
          <w:lang w:val="en-US" w:eastAsia="zh-CN"/>
        </w:rPr>
        <w:t>243590.38</w:t>
      </w:r>
      <w:r>
        <w:rPr>
          <w:rFonts w:hint="eastAsia" w:asciiTheme="minorEastAsia" w:hAnsiTheme="minorEastAsia" w:eastAsiaTheme="minorEastAsia" w:cstheme="minorEastAsia"/>
          <w:b w:val="0"/>
          <w:bCs/>
          <w:sz w:val="32"/>
          <w:szCs w:val="32"/>
        </w:rPr>
        <w:t>元，一般公共预算财政拨款收入</w:t>
      </w:r>
      <w:r>
        <w:rPr>
          <w:rFonts w:hint="eastAsia" w:asciiTheme="minorEastAsia" w:hAnsiTheme="minorEastAsia" w:eastAsiaTheme="minorEastAsia" w:cstheme="minorEastAsia"/>
          <w:b w:val="0"/>
          <w:bCs/>
          <w:sz w:val="32"/>
          <w:szCs w:val="32"/>
          <w:lang w:val="en-US" w:eastAsia="zh-CN"/>
        </w:rPr>
        <w:t>13941076.41</w:t>
      </w:r>
      <w:r>
        <w:rPr>
          <w:rFonts w:hint="eastAsia" w:asciiTheme="minorEastAsia" w:hAnsiTheme="minorEastAsia" w:eastAsiaTheme="minorEastAsia" w:cstheme="minorEastAsia"/>
          <w:b w:val="0"/>
          <w:bCs/>
          <w:sz w:val="32"/>
          <w:szCs w:val="32"/>
        </w:rPr>
        <w:t>元，年末一般公共预算财政拨款支出</w:t>
      </w:r>
      <w:r>
        <w:rPr>
          <w:rFonts w:hint="eastAsia" w:asciiTheme="minorEastAsia" w:hAnsiTheme="minorEastAsia" w:eastAsiaTheme="minorEastAsia" w:cstheme="minorEastAsia"/>
          <w:b w:val="0"/>
          <w:bCs/>
          <w:sz w:val="32"/>
          <w:szCs w:val="32"/>
          <w:lang w:val="en-US" w:eastAsia="zh-CN"/>
        </w:rPr>
        <w:t>13941076.41</w:t>
      </w:r>
      <w:r>
        <w:rPr>
          <w:rFonts w:hint="eastAsia" w:asciiTheme="minorEastAsia" w:hAnsiTheme="minorEastAsia" w:eastAsiaTheme="minorEastAsia" w:cstheme="minorEastAsia"/>
          <w:b w:val="0"/>
          <w:bCs/>
          <w:sz w:val="32"/>
          <w:szCs w:val="32"/>
        </w:rPr>
        <w:t>元，财政拨款结转结余</w:t>
      </w:r>
      <w:r>
        <w:rPr>
          <w:rFonts w:hint="eastAsia" w:asciiTheme="minorEastAsia" w:hAnsiTheme="minorEastAsia" w:eastAsiaTheme="minorEastAsia" w:cstheme="minorEastAsia"/>
          <w:b w:val="0"/>
          <w:bCs/>
          <w:sz w:val="32"/>
          <w:szCs w:val="32"/>
          <w:lang w:val="en-US" w:eastAsia="zh-CN"/>
        </w:rPr>
        <w:t>68619</w:t>
      </w:r>
      <w:r>
        <w:rPr>
          <w:rFonts w:hint="eastAsia" w:asciiTheme="minorEastAsia" w:hAnsiTheme="minorEastAsia" w:eastAsiaTheme="minorEastAsia" w:cstheme="minorEastAsia"/>
          <w:b w:val="0"/>
          <w:bCs/>
          <w:sz w:val="32"/>
          <w:szCs w:val="32"/>
        </w:rPr>
        <w:t>元，全部为</w:t>
      </w:r>
      <w:r>
        <w:rPr>
          <w:rFonts w:hint="eastAsia" w:asciiTheme="minorEastAsia" w:hAnsiTheme="minorEastAsia" w:eastAsiaTheme="minorEastAsia" w:cstheme="minorEastAsia"/>
          <w:b w:val="0"/>
          <w:bCs/>
          <w:sz w:val="32"/>
          <w:szCs w:val="32"/>
          <w:lang w:eastAsia="zh-CN"/>
        </w:rPr>
        <w:t>省级</w:t>
      </w:r>
      <w:r>
        <w:rPr>
          <w:rFonts w:hint="eastAsia" w:asciiTheme="minorEastAsia" w:hAnsiTheme="minorEastAsia" w:eastAsiaTheme="minorEastAsia" w:cstheme="minorEastAsia"/>
          <w:b w:val="0"/>
          <w:bCs/>
          <w:sz w:val="32"/>
          <w:szCs w:val="32"/>
        </w:rPr>
        <w:t>项目经费。</w:t>
      </w:r>
    </w:p>
    <w:p>
      <w:pPr>
        <w:spacing w:line="520" w:lineRule="exact"/>
        <w:ind w:firstLine="66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sz w:val="32"/>
          <w:szCs w:val="32"/>
          <w:lang w:eastAsia="zh-CN"/>
        </w:rPr>
        <w:t>（</w:t>
      </w:r>
      <w:r>
        <w:rPr>
          <w:rFonts w:hint="eastAsia" w:asciiTheme="minorEastAsia" w:hAnsiTheme="minorEastAsia" w:eastAsiaTheme="minorEastAsia" w:cstheme="minorEastAsia"/>
          <w:b w:val="0"/>
          <w:bCs/>
          <w:sz w:val="32"/>
          <w:szCs w:val="32"/>
        </w:rPr>
        <w:t>2</w:t>
      </w:r>
      <w:r>
        <w:rPr>
          <w:rFonts w:hint="eastAsia" w:asciiTheme="minorEastAsia" w:hAnsiTheme="minorEastAsia" w:eastAsiaTheme="minorEastAsia" w:cstheme="minorEastAsia"/>
          <w:b w:val="0"/>
          <w:bCs/>
          <w:sz w:val="32"/>
          <w:szCs w:val="32"/>
          <w:lang w:eastAsia="zh-CN"/>
        </w:rPr>
        <w:t>）</w:t>
      </w:r>
      <w:r>
        <w:rPr>
          <w:rFonts w:hint="eastAsia" w:asciiTheme="minorEastAsia" w:hAnsiTheme="minorEastAsia" w:eastAsiaTheme="minorEastAsia" w:cstheme="minorEastAsia"/>
          <w:b w:val="0"/>
          <w:bCs/>
          <w:sz w:val="32"/>
          <w:szCs w:val="32"/>
        </w:rPr>
        <w:t>收入支出结构分析</w:t>
      </w:r>
    </w:p>
    <w:p>
      <w:pPr>
        <w:ind w:firstLine="627" w:firstLineChars="196"/>
        <w:rPr>
          <w:rFonts w:hint="eastAsia" w:asciiTheme="minorEastAsia" w:hAnsiTheme="minorEastAsia" w:eastAsiaTheme="minorEastAsia" w:cstheme="minorEastAsia"/>
          <w:b w:val="0"/>
          <w:bCs/>
          <w:color w:val="000000"/>
          <w:sz w:val="32"/>
          <w:szCs w:val="32"/>
          <w:lang w:val="en-US" w:eastAsia="zh-CN"/>
        </w:rPr>
      </w:pPr>
      <w:r>
        <w:rPr>
          <w:rFonts w:hint="eastAsia" w:asciiTheme="minorEastAsia" w:hAnsiTheme="minorEastAsia" w:eastAsiaTheme="minorEastAsia" w:cstheme="minorEastAsia"/>
          <w:b w:val="0"/>
          <w:bCs/>
          <w:color w:val="000000"/>
          <w:sz w:val="32"/>
          <w:szCs w:val="32"/>
        </w:rPr>
        <w:t>201</w:t>
      </w:r>
      <w:r>
        <w:rPr>
          <w:rFonts w:hint="eastAsia" w:asciiTheme="minorEastAsia" w:hAnsiTheme="minorEastAsia" w:eastAsiaTheme="minorEastAsia" w:cstheme="minorEastAsia"/>
          <w:b w:val="0"/>
          <w:bCs/>
          <w:color w:val="000000"/>
          <w:sz w:val="32"/>
          <w:szCs w:val="32"/>
          <w:lang w:val="en-US" w:eastAsia="zh-CN"/>
        </w:rPr>
        <w:t>9</w:t>
      </w:r>
      <w:r>
        <w:rPr>
          <w:rFonts w:hint="eastAsia" w:asciiTheme="minorEastAsia" w:hAnsiTheme="minorEastAsia" w:eastAsiaTheme="minorEastAsia" w:cstheme="minorEastAsia"/>
          <w:b w:val="0"/>
          <w:bCs/>
          <w:color w:val="000000"/>
          <w:sz w:val="32"/>
          <w:szCs w:val="32"/>
        </w:rPr>
        <w:t>年总收入</w:t>
      </w:r>
      <w:r>
        <w:rPr>
          <w:rFonts w:hint="eastAsia" w:asciiTheme="minorEastAsia" w:hAnsiTheme="minorEastAsia" w:eastAsiaTheme="minorEastAsia" w:cstheme="minorEastAsia"/>
          <w:b w:val="0"/>
          <w:bCs/>
          <w:color w:val="000000"/>
          <w:sz w:val="32"/>
          <w:szCs w:val="32"/>
          <w:lang w:val="en-US" w:eastAsia="zh-CN"/>
        </w:rPr>
        <w:t>16765726.41</w:t>
      </w:r>
      <w:r>
        <w:rPr>
          <w:rFonts w:hint="eastAsia" w:asciiTheme="minorEastAsia" w:hAnsiTheme="minorEastAsia" w:eastAsiaTheme="minorEastAsia" w:cstheme="minorEastAsia"/>
          <w:b w:val="0"/>
          <w:bCs/>
          <w:color w:val="000000"/>
          <w:sz w:val="32"/>
          <w:szCs w:val="32"/>
        </w:rPr>
        <w:t>元，</w:t>
      </w:r>
      <w:r>
        <w:rPr>
          <w:rFonts w:hint="eastAsia" w:asciiTheme="minorEastAsia" w:hAnsiTheme="minorEastAsia" w:eastAsiaTheme="minorEastAsia" w:cstheme="minorEastAsia"/>
          <w:b w:val="0"/>
          <w:bCs/>
          <w:color w:val="000000"/>
          <w:sz w:val="32"/>
          <w:szCs w:val="32"/>
          <w:lang w:eastAsia="zh-CN"/>
        </w:rPr>
        <w:t>其中，</w:t>
      </w:r>
      <w:r>
        <w:rPr>
          <w:rFonts w:hint="eastAsia" w:asciiTheme="minorEastAsia" w:hAnsiTheme="minorEastAsia" w:eastAsiaTheme="minorEastAsia" w:cstheme="minorEastAsia"/>
          <w:b w:val="0"/>
          <w:bCs/>
          <w:color w:val="000000"/>
          <w:sz w:val="32"/>
          <w:szCs w:val="32"/>
        </w:rPr>
        <w:t>一般公共预算财政拨款收入</w:t>
      </w:r>
      <w:r>
        <w:rPr>
          <w:rFonts w:hint="eastAsia" w:asciiTheme="minorEastAsia" w:hAnsiTheme="minorEastAsia" w:eastAsiaTheme="minorEastAsia" w:cstheme="minorEastAsia"/>
          <w:b w:val="0"/>
          <w:bCs/>
          <w:color w:val="000000"/>
          <w:sz w:val="32"/>
          <w:szCs w:val="32"/>
          <w:lang w:val="en-US" w:eastAsia="zh-CN"/>
        </w:rPr>
        <w:t>13941076.41</w:t>
      </w:r>
      <w:r>
        <w:rPr>
          <w:rFonts w:hint="eastAsia" w:asciiTheme="minorEastAsia" w:hAnsiTheme="minorEastAsia" w:eastAsiaTheme="minorEastAsia" w:cstheme="minorEastAsia"/>
          <w:b w:val="0"/>
          <w:bCs/>
          <w:color w:val="000000"/>
          <w:sz w:val="32"/>
          <w:szCs w:val="32"/>
        </w:rPr>
        <w:t>元，</w:t>
      </w:r>
      <w:r>
        <w:rPr>
          <w:rFonts w:hint="eastAsia" w:asciiTheme="minorEastAsia" w:hAnsiTheme="minorEastAsia" w:eastAsiaTheme="minorEastAsia" w:cstheme="minorEastAsia"/>
          <w:b w:val="0"/>
          <w:bCs/>
          <w:color w:val="000000"/>
          <w:sz w:val="32"/>
          <w:szCs w:val="32"/>
          <w:lang w:eastAsia="zh-CN"/>
        </w:rPr>
        <w:t>其他收入</w:t>
      </w:r>
      <w:r>
        <w:rPr>
          <w:rFonts w:hint="eastAsia" w:asciiTheme="minorEastAsia" w:hAnsiTheme="minorEastAsia" w:eastAsiaTheme="minorEastAsia" w:cstheme="minorEastAsia"/>
          <w:b w:val="0"/>
          <w:bCs/>
          <w:color w:val="000000"/>
          <w:sz w:val="32"/>
          <w:szCs w:val="32"/>
          <w:lang w:val="en-US" w:eastAsia="zh-CN"/>
        </w:rPr>
        <w:t>2824650元，一般公共预算财政拨款收入占总收入83.15%，其他收入占总收入16.85%。</w:t>
      </w:r>
    </w:p>
    <w:p>
      <w:pPr>
        <w:ind w:firstLine="627" w:firstLineChars="196"/>
        <w:rPr>
          <w:rFonts w:hint="eastAsia" w:asciiTheme="minorEastAsia" w:hAnsiTheme="minorEastAsia" w:eastAsiaTheme="minorEastAsia" w:cstheme="minorEastAsia"/>
          <w:b w:val="0"/>
          <w:bCs/>
          <w:color w:val="000000"/>
          <w:sz w:val="32"/>
          <w:szCs w:val="32"/>
          <w:lang w:val="en-US" w:eastAsia="zh-CN"/>
        </w:rPr>
      </w:pPr>
      <w:r>
        <w:rPr>
          <w:rFonts w:hint="eastAsia" w:asciiTheme="minorEastAsia" w:hAnsiTheme="minorEastAsia" w:eastAsiaTheme="minorEastAsia" w:cstheme="minorEastAsia"/>
          <w:b w:val="0"/>
          <w:bCs/>
          <w:color w:val="000000"/>
          <w:sz w:val="32"/>
          <w:szCs w:val="32"/>
          <w:lang w:val="en-US" w:eastAsia="zh-CN"/>
        </w:rPr>
        <w:t>2018年总收入</w:t>
      </w:r>
      <w:r>
        <w:rPr>
          <w:rFonts w:hint="eastAsia" w:asciiTheme="minorEastAsia" w:hAnsiTheme="minorEastAsia" w:eastAsiaTheme="minorEastAsia" w:cstheme="minorEastAsia"/>
          <w:b w:val="0"/>
          <w:bCs/>
          <w:color w:val="000000"/>
          <w:sz w:val="32"/>
          <w:szCs w:val="32"/>
        </w:rPr>
        <w:t>12595314.22</w:t>
      </w:r>
      <w:r>
        <w:rPr>
          <w:rFonts w:hint="eastAsia" w:asciiTheme="minorEastAsia" w:hAnsiTheme="minorEastAsia" w:eastAsiaTheme="minorEastAsia" w:cstheme="minorEastAsia"/>
          <w:b w:val="0"/>
          <w:bCs/>
          <w:color w:val="000000"/>
          <w:sz w:val="32"/>
          <w:szCs w:val="32"/>
          <w:lang w:eastAsia="zh-CN"/>
        </w:rPr>
        <w:t>，其中一般公共预算预算财政拨款收入</w:t>
      </w:r>
      <w:r>
        <w:rPr>
          <w:rFonts w:hint="eastAsia" w:asciiTheme="minorEastAsia" w:hAnsiTheme="minorEastAsia" w:eastAsiaTheme="minorEastAsia" w:cstheme="minorEastAsia"/>
          <w:b w:val="0"/>
          <w:bCs/>
          <w:color w:val="000000"/>
          <w:sz w:val="32"/>
          <w:szCs w:val="32"/>
        </w:rPr>
        <w:t>12595314.22</w:t>
      </w:r>
      <w:r>
        <w:rPr>
          <w:rFonts w:hint="eastAsia" w:asciiTheme="minorEastAsia" w:hAnsiTheme="minorEastAsia" w:eastAsiaTheme="minorEastAsia" w:cstheme="minorEastAsia"/>
          <w:b w:val="0"/>
          <w:bCs/>
          <w:color w:val="000000"/>
          <w:sz w:val="32"/>
          <w:szCs w:val="32"/>
          <w:lang w:eastAsia="zh-CN"/>
        </w:rPr>
        <w:t>元，</w:t>
      </w:r>
      <w:r>
        <w:rPr>
          <w:rFonts w:hint="eastAsia" w:asciiTheme="minorEastAsia" w:hAnsiTheme="minorEastAsia" w:eastAsiaTheme="minorEastAsia" w:cstheme="minorEastAsia"/>
          <w:b w:val="0"/>
          <w:bCs/>
          <w:color w:val="000000"/>
          <w:sz w:val="32"/>
          <w:szCs w:val="32"/>
          <w:lang w:val="en-US" w:eastAsia="zh-CN"/>
        </w:rPr>
        <w:t>2019年一般</w:t>
      </w:r>
      <w:r>
        <w:rPr>
          <w:rFonts w:hint="eastAsia" w:asciiTheme="minorEastAsia" w:hAnsiTheme="minorEastAsia" w:eastAsiaTheme="minorEastAsia" w:cstheme="minorEastAsia"/>
          <w:b w:val="0"/>
          <w:bCs/>
          <w:color w:val="000000"/>
          <w:sz w:val="32"/>
          <w:szCs w:val="32"/>
          <w:lang w:eastAsia="zh-CN"/>
        </w:rPr>
        <w:t>公共预算预算财政拨款收入比</w:t>
      </w:r>
      <w:r>
        <w:rPr>
          <w:rFonts w:hint="eastAsia" w:asciiTheme="minorEastAsia" w:hAnsiTheme="minorEastAsia" w:eastAsiaTheme="minorEastAsia" w:cstheme="minorEastAsia"/>
          <w:b w:val="0"/>
          <w:bCs/>
          <w:color w:val="000000"/>
          <w:sz w:val="32"/>
          <w:szCs w:val="32"/>
          <w:lang w:val="en-US" w:eastAsia="zh-CN"/>
        </w:rPr>
        <w:t>2018年增加10.68%，主要是人员工资及项目经费增加。</w:t>
      </w:r>
    </w:p>
    <w:p>
      <w:pPr>
        <w:spacing w:line="520" w:lineRule="exact"/>
        <w:ind w:firstLine="640" w:firstLineChars="20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sz w:val="32"/>
          <w:szCs w:val="32"/>
          <w:lang w:eastAsia="zh-CN"/>
        </w:rPr>
        <w:t>（</w:t>
      </w:r>
      <w:r>
        <w:rPr>
          <w:rFonts w:hint="eastAsia" w:asciiTheme="minorEastAsia" w:hAnsiTheme="minorEastAsia" w:eastAsiaTheme="minorEastAsia" w:cstheme="minorEastAsia"/>
          <w:b w:val="0"/>
          <w:bCs/>
          <w:sz w:val="32"/>
          <w:szCs w:val="32"/>
        </w:rPr>
        <w:t>3</w:t>
      </w:r>
      <w:r>
        <w:rPr>
          <w:rFonts w:hint="eastAsia" w:asciiTheme="minorEastAsia" w:hAnsiTheme="minorEastAsia" w:eastAsiaTheme="minorEastAsia" w:cstheme="minorEastAsia"/>
          <w:b w:val="0"/>
          <w:bCs/>
          <w:sz w:val="32"/>
          <w:szCs w:val="32"/>
          <w:lang w:eastAsia="zh-CN"/>
        </w:rPr>
        <w:t>）</w:t>
      </w:r>
      <w:r>
        <w:rPr>
          <w:rFonts w:hint="eastAsia" w:asciiTheme="minorEastAsia" w:hAnsiTheme="minorEastAsia" w:eastAsiaTheme="minorEastAsia" w:cstheme="minorEastAsia"/>
          <w:b w:val="0"/>
          <w:bCs/>
          <w:sz w:val="32"/>
          <w:szCs w:val="32"/>
        </w:rPr>
        <w:t>支出按经济分类科目分析</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56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sz w:val="32"/>
          <w:szCs w:val="32"/>
          <w:lang w:eastAsia="zh-CN"/>
        </w:rPr>
        <w:t>①</w:t>
      </w:r>
      <w:r>
        <w:rPr>
          <w:rFonts w:hint="eastAsia" w:asciiTheme="minorEastAsia" w:hAnsiTheme="minorEastAsia" w:eastAsiaTheme="minorEastAsia" w:cstheme="minorEastAsia"/>
          <w:b w:val="0"/>
          <w:bCs/>
          <w:sz w:val="32"/>
          <w:szCs w:val="32"/>
        </w:rPr>
        <w:t>“三公经费”支出情况：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56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sz w:val="32"/>
          <w:szCs w:val="32"/>
        </w:rPr>
        <w:t>201</w:t>
      </w:r>
      <w:r>
        <w:rPr>
          <w:rFonts w:hint="eastAsia" w:asciiTheme="minorEastAsia" w:hAnsiTheme="minorEastAsia" w:eastAsiaTheme="minorEastAsia" w:cstheme="minorEastAsia"/>
          <w:b w:val="0"/>
          <w:bCs/>
          <w:sz w:val="32"/>
          <w:szCs w:val="32"/>
          <w:lang w:val="en-US" w:eastAsia="zh-CN"/>
        </w:rPr>
        <w:t>9</w:t>
      </w:r>
      <w:r>
        <w:rPr>
          <w:rFonts w:hint="eastAsia" w:asciiTheme="minorEastAsia" w:hAnsiTheme="minorEastAsia" w:eastAsiaTheme="minorEastAsia" w:cstheme="minorEastAsia"/>
          <w:b w:val="0"/>
          <w:bCs/>
          <w:sz w:val="32"/>
          <w:szCs w:val="32"/>
        </w:rPr>
        <w:t>年度我单位无“因公出国（境）费”经费支出。</w:t>
      </w:r>
    </w:p>
    <w:p>
      <w:pPr>
        <w:spacing w:line="520" w:lineRule="exact"/>
        <w:ind w:firstLine="640" w:firstLineChars="20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kern w:val="0"/>
          <w:sz w:val="32"/>
          <w:szCs w:val="32"/>
          <w:lang w:eastAsia="zh-CN"/>
        </w:rPr>
        <w:t>②</w:t>
      </w:r>
      <w:r>
        <w:rPr>
          <w:rFonts w:hint="eastAsia" w:asciiTheme="minorEastAsia" w:hAnsiTheme="minorEastAsia" w:eastAsiaTheme="minorEastAsia" w:cstheme="minorEastAsia"/>
          <w:b w:val="0"/>
          <w:bCs/>
          <w:kern w:val="0"/>
          <w:sz w:val="32"/>
          <w:szCs w:val="32"/>
        </w:rPr>
        <w:t>公务用车运行维护费</w:t>
      </w:r>
      <w:r>
        <w:rPr>
          <w:rFonts w:hint="eastAsia" w:asciiTheme="minorEastAsia" w:hAnsiTheme="minorEastAsia" w:eastAsiaTheme="minorEastAsia" w:cstheme="minorEastAsia"/>
          <w:b w:val="0"/>
          <w:bCs/>
          <w:sz w:val="32"/>
          <w:szCs w:val="32"/>
        </w:rPr>
        <w:t>支出情况：本年度</w:t>
      </w:r>
      <w:r>
        <w:rPr>
          <w:rFonts w:hint="eastAsia" w:asciiTheme="minorEastAsia" w:hAnsiTheme="minorEastAsia" w:eastAsiaTheme="minorEastAsia" w:cstheme="minorEastAsia"/>
          <w:b w:val="0"/>
          <w:bCs/>
          <w:color w:val="000000"/>
          <w:sz w:val="32"/>
          <w:szCs w:val="32"/>
        </w:rPr>
        <w:t>公务用车运行维护费</w:t>
      </w:r>
      <w:r>
        <w:rPr>
          <w:rFonts w:hint="eastAsia" w:asciiTheme="minorEastAsia" w:hAnsiTheme="minorEastAsia" w:eastAsiaTheme="minorEastAsia" w:cstheme="minorEastAsia"/>
          <w:b w:val="0"/>
          <w:bCs/>
          <w:color w:val="000000"/>
          <w:sz w:val="32"/>
          <w:szCs w:val="32"/>
          <w:lang w:val="en-US" w:eastAsia="zh-CN"/>
        </w:rPr>
        <w:t>39869.19</w:t>
      </w:r>
      <w:r>
        <w:rPr>
          <w:rFonts w:hint="eastAsia" w:asciiTheme="minorEastAsia" w:hAnsiTheme="minorEastAsia" w:eastAsiaTheme="minorEastAsia" w:cstheme="minorEastAsia"/>
          <w:b w:val="0"/>
          <w:bCs/>
          <w:color w:val="000000"/>
          <w:sz w:val="32"/>
          <w:szCs w:val="32"/>
        </w:rPr>
        <w:t>元，比上年减少</w:t>
      </w:r>
      <w:r>
        <w:rPr>
          <w:rFonts w:hint="eastAsia" w:asciiTheme="minorEastAsia" w:hAnsiTheme="minorEastAsia" w:eastAsiaTheme="minorEastAsia" w:cstheme="minorEastAsia"/>
          <w:b w:val="0"/>
          <w:bCs/>
          <w:color w:val="000000"/>
          <w:sz w:val="32"/>
          <w:szCs w:val="32"/>
          <w:lang w:val="en-US" w:eastAsia="zh-CN"/>
        </w:rPr>
        <w:t>70.02</w:t>
      </w:r>
      <w:r>
        <w:rPr>
          <w:rFonts w:hint="eastAsia" w:asciiTheme="minorEastAsia" w:hAnsiTheme="minorEastAsia" w:eastAsiaTheme="minorEastAsia" w:cstheme="minorEastAsia"/>
          <w:b w:val="0"/>
          <w:bCs/>
          <w:color w:val="000000"/>
          <w:sz w:val="32"/>
          <w:szCs w:val="32"/>
        </w:rPr>
        <w:t>%，主要是</w:t>
      </w:r>
      <w:r>
        <w:rPr>
          <w:rFonts w:hint="eastAsia" w:asciiTheme="minorEastAsia" w:hAnsiTheme="minorEastAsia" w:eastAsiaTheme="minorEastAsia" w:cstheme="minorEastAsia"/>
          <w:b w:val="0"/>
          <w:bCs/>
          <w:sz w:val="32"/>
          <w:szCs w:val="32"/>
        </w:rPr>
        <w:t>严格控制公务用车运行维护费，合理安排车辆，最大限度压缩行车路程，并妥善使用旧车辆，避免高额维修（护）费</w:t>
      </w:r>
      <w:r>
        <w:rPr>
          <w:rFonts w:hint="eastAsia" w:asciiTheme="minorEastAsia" w:hAnsiTheme="minorEastAsia" w:eastAsiaTheme="minorEastAsia" w:cstheme="minorEastAsia"/>
          <w:b w:val="0"/>
          <w:bCs/>
          <w:color w:val="000000"/>
          <w:sz w:val="32"/>
          <w:szCs w:val="32"/>
        </w:rPr>
        <w:t>；</w:t>
      </w:r>
      <w:r>
        <w:rPr>
          <w:rFonts w:hint="eastAsia" w:asciiTheme="minorEastAsia" w:hAnsiTheme="minorEastAsia" w:eastAsiaTheme="minorEastAsia" w:cstheme="minorEastAsia"/>
          <w:b w:val="0"/>
          <w:bCs/>
          <w:sz w:val="32"/>
          <w:szCs w:val="32"/>
        </w:rPr>
        <w:t xml:space="preserve"> </w:t>
      </w:r>
    </w:p>
    <w:p>
      <w:pPr>
        <w:ind w:firstLine="640" w:firstLineChars="200"/>
        <w:rPr>
          <w:rFonts w:hint="eastAsia" w:asciiTheme="minorEastAsia" w:hAnsiTheme="minorEastAsia" w:eastAsiaTheme="minorEastAsia" w:cstheme="minorEastAsia"/>
          <w:b w:val="0"/>
          <w:bCs/>
          <w:color w:val="000000"/>
          <w:sz w:val="32"/>
          <w:szCs w:val="32"/>
        </w:rPr>
      </w:pPr>
      <w:r>
        <w:rPr>
          <w:rFonts w:hint="eastAsia" w:asciiTheme="minorEastAsia" w:hAnsiTheme="minorEastAsia" w:eastAsiaTheme="minorEastAsia" w:cstheme="minorEastAsia"/>
          <w:b w:val="0"/>
          <w:bCs/>
          <w:kern w:val="0"/>
          <w:sz w:val="32"/>
          <w:szCs w:val="32"/>
          <w:lang w:eastAsia="zh-CN"/>
        </w:rPr>
        <w:t>③</w:t>
      </w:r>
      <w:r>
        <w:rPr>
          <w:rFonts w:hint="eastAsia" w:asciiTheme="minorEastAsia" w:hAnsiTheme="minorEastAsia" w:eastAsiaTheme="minorEastAsia" w:cstheme="minorEastAsia"/>
          <w:b w:val="0"/>
          <w:bCs/>
          <w:kern w:val="0"/>
          <w:sz w:val="32"/>
          <w:szCs w:val="32"/>
        </w:rPr>
        <w:t>公务接待费</w:t>
      </w:r>
      <w:r>
        <w:rPr>
          <w:rFonts w:hint="eastAsia" w:asciiTheme="minorEastAsia" w:hAnsiTheme="minorEastAsia" w:eastAsiaTheme="minorEastAsia" w:cstheme="minorEastAsia"/>
          <w:b w:val="0"/>
          <w:bCs/>
          <w:sz w:val="32"/>
          <w:szCs w:val="32"/>
        </w:rPr>
        <w:t>支出情况：本年度</w:t>
      </w:r>
      <w:r>
        <w:rPr>
          <w:rFonts w:hint="eastAsia" w:asciiTheme="minorEastAsia" w:hAnsiTheme="minorEastAsia" w:eastAsiaTheme="minorEastAsia" w:cstheme="minorEastAsia"/>
          <w:b w:val="0"/>
          <w:bCs/>
          <w:color w:val="000000"/>
          <w:sz w:val="32"/>
          <w:szCs w:val="32"/>
        </w:rPr>
        <w:t>公务接待费</w:t>
      </w:r>
      <w:r>
        <w:rPr>
          <w:rFonts w:hint="eastAsia" w:asciiTheme="minorEastAsia" w:hAnsiTheme="minorEastAsia" w:eastAsiaTheme="minorEastAsia" w:cstheme="minorEastAsia"/>
          <w:b w:val="0"/>
          <w:bCs/>
          <w:sz w:val="32"/>
          <w:szCs w:val="32"/>
        </w:rPr>
        <w:t>支出</w:t>
      </w:r>
      <w:r>
        <w:rPr>
          <w:rFonts w:hint="eastAsia" w:asciiTheme="minorEastAsia" w:hAnsiTheme="minorEastAsia" w:eastAsiaTheme="minorEastAsia" w:cstheme="minorEastAsia"/>
          <w:b w:val="0"/>
          <w:bCs/>
          <w:sz w:val="32"/>
          <w:szCs w:val="32"/>
          <w:lang w:val="en-US" w:eastAsia="zh-CN"/>
        </w:rPr>
        <w:t>0</w:t>
      </w:r>
      <w:r>
        <w:rPr>
          <w:rFonts w:hint="eastAsia" w:asciiTheme="minorEastAsia" w:hAnsiTheme="minorEastAsia" w:eastAsiaTheme="minorEastAsia" w:cstheme="minorEastAsia"/>
          <w:b w:val="0"/>
          <w:bCs/>
          <w:sz w:val="32"/>
          <w:szCs w:val="32"/>
        </w:rPr>
        <w:t>元，</w:t>
      </w:r>
      <w:r>
        <w:rPr>
          <w:rFonts w:hint="eastAsia" w:asciiTheme="minorEastAsia" w:hAnsiTheme="minorEastAsia" w:eastAsiaTheme="minorEastAsia" w:cstheme="minorEastAsia"/>
          <w:b w:val="0"/>
          <w:bCs/>
          <w:color w:val="000000"/>
          <w:sz w:val="32"/>
          <w:szCs w:val="32"/>
        </w:rPr>
        <w:t>公务接待费，比上年减少</w:t>
      </w:r>
      <w:r>
        <w:rPr>
          <w:rFonts w:hint="eastAsia" w:asciiTheme="minorEastAsia" w:hAnsiTheme="minorEastAsia" w:eastAsiaTheme="minorEastAsia" w:cstheme="minorEastAsia"/>
          <w:b w:val="0"/>
          <w:bCs/>
          <w:color w:val="000000"/>
          <w:sz w:val="32"/>
          <w:szCs w:val="32"/>
          <w:lang w:val="en-US" w:eastAsia="zh-CN"/>
        </w:rPr>
        <w:t>100</w:t>
      </w:r>
      <w:r>
        <w:rPr>
          <w:rFonts w:hint="eastAsia" w:asciiTheme="minorEastAsia" w:hAnsiTheme="minorEastAsia" w:eastAsiaTheme="minorEastAsia" w:cstheme="minorEastAsia"/>
          <w:b w:val="0"/>
          <w:bCs/>
          <w:color w:val="000000"/>
          <w:sz w:val="32"/>
          <w:szCs w:val="32"/>
        </w:rPr>
        <w:t>%，主要是注重节支。</w:t>
      </w:r>
    </w:p>
    <w:p>
      <w:pPr>
        <w:spacing w:line="520" w:lineRule="exact"/>
        <w:ind w:firstLine="66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sz w:val="32"/>
          <w:szCs w:val="32"/>
          <w:lang w:eastAsia="zh-CN"/>
        </w:rPr>
        <w:t>（</w:t>
      </w:r>
      <w:r>
        <w:rPr>
          <w:rFonts w:hint="eastAsia" w:asciiTheme="minorEastAsia" w:hAnsiTheme="minorEastAsia" w:eastAsiaTheme="minorEastAsia" w:cstheme="minorEastAsia"/>
          <w:b w:val="0"/>
          <w:bCs/>
          <w:sz w:val="32"/>
          <w:szCs w:val="32"/>
        </w:rPr>
        <w:t>4</w:t>
      </w:r>
      <w:r>
        <w:rPr>
          <w:rFonts w:hint="eastAsia" w:asciiTheme="minorEastAsia" w:hAnsiTheme="minorEastAsia" w:eastAsiaTheme="minorEastAsia" w:cstheme="minorEastAsia"/>
          <w:b w:val="0"/>
          <w:bCs/>
          <w:sz w:val="32"/>
          <w:szCs w:val="32"/>
          <w:lang w:eastAsia="zh-CN"/>
        </w:rPr>
        <w:t>）</w:t>
      </w:r>
      <w:r>
        <w:rPr>
          <w:rFonts w:hint="eastAsia" w:asciiTheme="minorEastAsia" w:hAnsiTheme="minorEastAsia" w:eastAsiaTheme="minorEastAsia" w:cstheme="minorEastAsia"/>
          <w:b w:val="0"/>
          <w:bCs/>
          <w:sz w:val="32"/>
          <w:szCs w:val="32"/>
        </w:rPr>
        <w:t>财政拨款收入、支出分析</w:t>
      </w:r>
    </w:p>
    <w:p>
      <w:pPr>
        <w:ind w:firstLine="64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sz w:val="32"/>
          <w:szCs w:val="32"/>
        </w:rPr>
        <w:t>201</w:t>
      </w:r>
      <w:r>
        <w:rPr>
          <w:rFonts w:hint="eastAsia" w:asciiTheme="minorEastAsia" w:hAnsiTheme="minorEastAsia" w:eastAsiaTheme="minorEastAsia" w:cstheme="minorEastAsia"/>
          <w:b w:val="0"/>
          <w:bCs/>
          <w:sz w:val="32"/>
          <w:szCs w:val="32"/>
          <w:lang w:val="en-US" w:eastAsia="zh-CN"/>
        </w:rPr>
        <w:t>9</w:t>
      </w:r>
      <w:r>
        <w:rPr>
          <w:rFonts w:hint="eastAsia" w:asciiTheme="minorEastAsia" w:hAnsiTheme="minorEastAsia" w:eastAsiaTheme="minorEastAsia" w:cstheme="minorEastAsia"/>
          <w:b w:val="0"/>
          <w:bCs/>
          <w:sz w:val="32"/>
          <w:szCs w:val="32"/>
        </w:rPr>
        <w:t>年财政拨款收入</w:t>
      </w:r>
      <w:r>
        <w:rPr>
          <w:rFonts w:hint="eastAsia" w:asciiTheme="minorEastAsia" w:hAnsiTheme="minorEastAsia" w:eastAsiaTheme="minorEastAsia" w:cstheme="minorEastAsia"/>
          <w:b w:val="0"/>
          <w:bCs/>
          <w:color w:val="000000"/>
          <w:sz w:val="32"/>
          <w:szCs w:val="32"/>
          <w:lang w:val="en-US" w:eastAsia="zh-CN"/>
        </w:rPr>
        <w:t>13941076.41</w:t>
      </w:r>
      <w:r>
        <w:rPr>
          <w:rFonts w:hint="eastAsia" w:asciiTheme="minorEastAsia" w:hAnsiTheme="minorEastAsia" w:eastAsiaTheme="minorEastAsia" w:cstheme="minorEastAsia"/>
          <w:b w:val="0"/>
          <w:bCs/>
          <w:sz w:val="32"/>
          <w:szCs w:val="32"/>
        </w:rPr>
        <w:t>元，财政拨款支出为</w:t>
      </w:r>
      <w:r>
        <w:rPr>
          <w:rFonts w:hint="eastAsia" w:asciiTheme="minorEastAsia" w:hAnsiTheme="minorEastAsia" w:eastAsiaTheme="minorEastAsia" w:cstheme="minorEastAsia"/>
          <w:b w:val="0"/>
          <w:bCs/>
          <w:sz w:val="32"/>
          <w:szCs w:val="32"/>
          <w:lang w:val="en-US" w:eastAsia="zh-CN"/>
        </w:rPr>
        <w:t>14116047.79</w:t>
      </w:r>
      <w:r>
        <w:rPr>
          <w:rFonts w:hint="eastAsia" w:asciiTheme="minorEastAsia" w:hAnsiTheme="minorEastAsia" w:eastAsiaTheme="minorEastAsia" w:cstheme="minorEastAsia"/>
          <w:b w:val="0"/>
          <w:bCs/>
          <w:sz w:val="32"/>
          <w:szCs w:val="32"/>
        </w:rPr>
        <w:t>元，其中基本支出</w:t>
      </w:r>
      <w:r>
        <w:rPr>
          <w:rFonts w:hint="eastAsia" w:asciiTheme="minorEastAsia" w:hAnsiTheme="minorEastAsia" w:eastAsiaTheme="minorEastAsia" w:cstheme="minorEastAsia"/>
          <w:b w:val="0"/>
          <w:bCs/>
          <w:sz w:val="32"/>
          <w:szCs w:val="32"/>
          <w:lang w:val="en-US" w:eastAsia="zh-CN"/>
        </w:rPr>
        <w:t>12135149.61</w:t>
      </w:r>
      <w:r>
        <w:rPr>
          <w:rFonts w:hint="eastAsia" w:asciiTheme="minorEastAsia" w:hAnsiTheme="minorEastAsia" w:eastAsiaTheme="minorEastAsia" w:cstheme="minorEastAsia"/>
          <w:b w:val="0"/>
          <w:bCs/>
          <w:sz w:val="32"/>
          <w:szCs w:val="32"/>
        </w:rPr>
        <w:t>元（人员经费支出</w:t>
      </w:r>
      <w:r>
        <w:rPr>
          <w:rFonts w:hint="eastAsia" w:asciiTheme="minorEastAsia" w:hAnsiTheme="minorEastAsia" w:eastAsiaTheme="minorEastAsia" w:cstheme="minorEastAsia"/>
          <w:b w:val="0"/>
          <w:bCs/>
          <w:sz w:val="32"/>
          <w:szCs w:val="32"/>
          <w:lang w:val="en-US" w:eastAsia="zh-CN"/>
        </w:rPr>
        <w:t>10777918.27</w:t>
      </w:r>
      <w:r>
        <w:rPr>
          <w:rFonts w:hint="eastAsia" w:asciiTheme="minorEastAsia" w:hAnsiTheme="minorEastAsia" w:eastAsiaTheme="minorEastAsia" w:cstheme="minorEastAsia"/>
          <w:b w:val="0"/>
          <w:bCs/>
          <w:sz w:val="32"/>
          <w:szCs w:val="32"/>
        </w:rPr>
        <w:t>元，占比</w:t>
      </w:r>
      <w:r>
        <w:rPr>
          <w:rFonts w:hint="eastAsia" w:asciiTheme="minorEastAsia" w:hAnsiTheme="minorEastAsia" w:eastAsiaTheme="minorEastAsia" w:cstheme="minorEastAsia"/>
          <w:b w:val="0"/>
          <w:bCs/>
          <w:sz w:val="32"/>
          <w:szCs w:val="32"/>
          <w:lang w:val="en-US" w:eastAsia="zh-CN"/>
        </w:rPr>
        <w:t xml:space="preserve"> 88.82 </w:t>
      </w:r>
      <w:r>
        <w:rPr>
          <w:rFonts w:hint="eastAsia" w:asciiTheme="minorEastAsia" w:hAnsiTheme="minorEastAsia" w:eastAsiaTheme="minorEastAsia" w:cstheme="minorEastAsia"/>
          <w:b w:val="0"/>
          <w:bCs/>
          <w:sz w:val="32"/>
          <w:szCs w:val="32"/>
        </w:rPr>
        <w:t>%；日常公用经费</w:t>
      </w:r>
      <w:r>
        <w:rPr>
          <w:rFonts w:hint="eastAsia" w:asciiTheme="minorEastAsia" w:hAnsiTheme="minorEastAsia" w:eastAsiaTheme="minorEastAsia" w:cstheme="minorEastAsia"/>
          <w:b w:val="0"/>
          <w:bCs/>
          <w:sz w:val="32"/>
          <w:szCs w:val="32"/>
          <w:lang w:val="en-US" w:eastAsia="zh-CN"/>
        </w:rPr>
        <w:t>1357231.34</w:t>
      </w:r>
      <w:r>
        <w:rPr>
          <w:rFonts w:hint="eastAsia" w:asciiTheme="minorEastAsia" w:hAnsiTheme="minorEastAsia" w:eastAsiaTheme="minorEastAsia" w:cstheme="minorEastAsia"/>
          <w:b w:val="0"/>
          <w:bCs/>
          <w:sz w:val="32"/>
          <w:szCs w:val="32"/>
        </w:rPr>
        <w:t>元，占比</w:t>
      </w:r>
      <w:r>
        <w:rPr>
          <w:rFonts w:hint="eastAsia" w:asciiTheme="minorEastAsia" w:hAnsiTheme="minorEastAsia" w:eastAsiaTheme="minorEastAsia" w:cstheme="minorEastAsia"/>
          <w:b w:val="0"/>
          <w:bCs/>
          <w:sz w:val="32"/>
          <w:szCs w:val="32"/>
          <w:lang w:val="en-US" w:eastAsia="zh-CN"/>
        </w:rPr>
        <w:t xml:space="preserve"> 11.18 </w:t>
      </w:r>
      <w:r>
        <w:rPr>
          <w:rFonts w:hint="eastAsia" w:asciiTheme="minorEastAsia" w:hAnsiTheme="minorEastAsia" w:eastAsiaTheme="minorEastAsia" w:cstheme="minorEastAsia"/>
          <w:b w:val="0"/>
          <w:bCs/>
          <w:sz w:val="32"/>
          <w:szCs w:val="32"/>
        </w:rPr>
        <w:t>%），占总支出85.</w:t>
      </w:r>
      <w:r>
        <w:rPr>
          <w:rFonts w:hint="eastAsia" w:asciiTheme="minorEastAsia" w:hAnsiTheme="minorEastAsia" w:eastAsiaTheme="minorEastAsia" w:cstheme="minorEastAsia"/>
          <w:b w:val="0"/>
          <w:bCs/>
          <w:sz w:val="32"/>
          <w:szCs w:val="32"/>
          <w:lang w:val="en-US" w:eastAsia="zh-CN"/>
        </w:rPr>
        <w:t>97</w:t>
      </w:r>
      <w:r>
        <w:rPr>
          <w:rFonts w:hint="eastAsia" w:asciiTheme="minorEastAsia" w:hAnsiTheme="minorEastAsia" w:eastAsiaTheme="minorEastAsia" w:cstheme="minorEastAsia"/>
          <w:b w:val="0"/>
          <w:bCs/>
          <w:sz w:val="32"/>
          <w:szCs w:val="32"/>
        </w:rPr>
        <w:t>%；项目支出</w:t>
      </w:r>
      <w:r>
        <w:rPr>
          <w:rFonts w:hint="eastAsia" w:asciiTheme="minorEastAsia" w:hAnsiTheme="minorEastAsia" w:eastAsiaTheme="minorEastAsia" w:cstheme="minorEastAsia"/>
          <w:b w:val="0"/>
          <w:bCs/>
          <w:sz w:val="32"/>
          <w:szCs w:val="32"/>
          <w:lang w:val="en-US" w:eastAsia="zh-CN"/>
        </w:rPr>
        <w:t>1980898.18</w:t>
      </w:r>
      <w:r>
        <w:rPr>
          <w:rFonts w:hint="eastAsia" w:asciiTheme="minorEastAsia" w:hAnsiTheme="minorEastAsia" w:eastAsiaTheme="minorEastAsia" w:cstheme="minorEastAsia"/>
          <w:b w:val="0"/>
          <w:bCs/>
          <w:sz w:val="32"/>
          <w:szCs w:val="32"/>
        </w:rPr>
        <w:t>元（具体为201</w:t>
      </w:r>
      <w:r>
        <w:rPr>
          <w:rFonts w:hint="eastAsia" w:asciiTheme="minorEastAsia" w:hAnsiTheme="minorEastAsia" w:eastAsiaTheme="minorEastAsia" w:cstheme="minorEastAsia"/>
          <w:b w:val="0"/>
          <w:bCs/>
          <w:sz w:val="32"/>
          <w:szCs w:val="32"/>
          <w:lang w:val="en-US" w:eastAsia="zh-CN"/>
        </w:rPr>
        <w:t>8</w:t>
      </w:r>
      <w:r>
        <w:rPr>
          <w:rFonts w:hint="eastAsia" w:asciiTheme="minorEastAsia" w:hAnsiTheme="minorEastAsia" w:eastAsiaTheme="minorEastAsia" w:cstheme="minorEastAsia"/>
          <w:b w:val="0"/>
          <w:bCs/>
          <w:sz w:val="32"/>
          <w:szCs w:val="32"/>
        </w:rPr>
        <w:t>年度结转项目经费</w:t>
      </w:r>
      <w:r>
        <w:rPr>
          <w:rFonts w:hint="eastAsia" w:asciiTheme="minorEastAsia" w:hAnsiTheme="minorEastAsia" w:eastAsiaTheme="minorEastAsia" w:cstheme="minorEastAsia"/>
          <w:b w:val="0"/>
          <w:bCs/>
          <w:sz w:val="32"/>
          <w:szCs w:val="32"/>
          <w:lang w:val="en-US" w:eastAsia="zh-CN"/>
        </w:rPr>
        <w:t>243590.38</w:t>
      </w:r>
      <w:r>
        <w:rPr>
          <w:rFonts w:hint="eastAsia" w:asciiTheme="minorEastAsia" w:hAnsiTheme="minorEastAsia" w:eastAsiaTheme="minorEastAsia" w:cstheme="minorEastAsia"/>
          <w:b w:val="0"/>
          <w:bCs/>
          <w:sz w:val="32"/>
          <w:szCs w:val="32"/>
        </w:rPr>
        <w:t>元和201</w:t>
      </w:r>
      <w:r>
        <w:rPr>
          <w:rFonts w:hint="eastAsia" w:asciiTheme="minorEastAsia" w:hAnsiTheme="minorEastAsia" w:eastAsiaTheme="minorEastAsia" w:cstheme="minorEastAsia"/>
          <w:b w:val="0"/>
          <w:bCs/>
          <w:sz w:val="32"/>
          <w:szCs w:val="32"/>
          <w:lang w:val="en-US" w:eastAsia="zh-CN"/>
        </w:rPr>
        <w:t>9</w:t>
      </w:r>
      <w:r>
        <w:rPr>
          <w:rFonts w:hint="eastAsia" w:asciiTheme="minorEastAsia" w:hAnsiTheme="minorEastAsia" w:eastAsiaTheme="minorEastAsia" w:cstheme="minorEastAsia"/>
          <w:b w:val="0"/>
          <w:bCs/>
          <w:sz w:val="32"/>
          <w:szCs w:val="32"/>
        </w:rPr>
        <w:t>年度项目经费</w:t>
      </w:r>
      <w:r>
        <w:rPr>
          <w:rFonts w:hint="eastAsia" w:asciiTheme="minorEastAsia" w:hAnsiTheme="minorEastAsia" w:eastAsiaTheme="minorEastAsia" w:cstheme="minorEastAsia"/>
          <w:b w:val="0"/>
          <w:bCs/>
          <w:sz w:val="32"/>
          <w:szCs w:val="32"/>
          <w:lang w:val="en-US" w:eastAsia="zh-CN"/>
        </w:rPr>
        <w:t>1737307.8</w:t>
      </w:r>
      <w:r>
        <w:rPr>
          <w:rFonts w:hint="eastAsia" w:asciiTheme="minorEastAsia" w:hAnsiTheme="minorEastAsia" w:eastAsiaTheme="minorEastAsia" w:cstheme="minorEastAsia"/>
          <w:b w:val="0"/>
          <w:bCs/>
          <w:sz w:val="32"/>
          <w:szCs w:val="32"/>
        </w:rPr>
        <w:t>元），占总支</w:t>
      </w:r>
      <w:r>
        <w:rPr>
          <w:rFonts w:hint="eastAsia" w:asciiTheme="minorEastAsia" w:hAnsiTheme="minorEastAsia" w:eastAsiaTheme="minorEastAsia" w:cstheme="minorEastAsia"/>
          <w:b w:val="0"/>
          <w:bCs/>
          <w:sz w:val="32"/>
          <w:szCs w:val="32"/>
          <w:lang w:val="en-US" w:eastAsia="zh-CN"/>
        </w:rPr>
        <w:t>14.03</w:t>
      </w:r>
      <w:r>
        <w:rPr>
          <w:rFonts w:hint="eastAsia" w:asciiTheme="minorEastAsia" w:hAnsiTheme="minorEastAsia" w:eastAsiaTheme="minorEastAsia" w:cstheme="minorEastAsia"/>
          <w:b w:val="0"/>
          <w:bCs/>
          <w:sz w:val="32"/>
          <w:szCs w:val="32"/>
        </w:rPr>
        <w:t>%，因此，在总支出中基本支出占比最大，在基本支出中人员经费占比最大，人员开支为单位主要支出项目。</w:t>
      </w:r>
    </w:p>
    <w:p>
      <w:pPr>
        <w:ind w:firstLine="64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sz w:val="32"/>
          <w:szCs w:val="32"/>
          <w:lang w:eastAsia="zh-CN"/>
        </w:rPr>
        <w:t>（</w:t>
      </w:r>
      <w:r>
        <w:rPr>
          <w:rFonts w:hint="eastAsia" w:asciiTheme="minorEastAsia" w:hAnsiTheme="minorEastAsia" w:eastAsiaTheme="minorEastAsia" w:cstheme="minorEastAsia"/>
          <w:b w:val="0"/>
          <w:bCs/>
          <w:sz w:val="32"/>
          <w:szCs w:val="32"/>
          <w:lang w:val="en-US" w:eastAsia="zh-CN"/>
        </w:rPr>
        <w:t>5</w:t>
      </w:r>
      <w:r>
        <w:rPr>
          <w:rFonts w:hint="eastAsia" w:asciiTheme="minorEastAsia" w:hAnsiTheme="minorEastAsia" w:eastAsiaTheme="minorEastAsia" w:cstheme="minorEastAsia"/>
          <w:b w:val="0"/>
          <w:bCs/>
          <w:sz w:val="32"/>
          <w:szCs w:val="32"/>
          <w:lang w:eastAsia="zh-CN"/>
        </w:rPr>
        <w:t>）</w:t>
      </w:r>
      <w:r>
        <w:rPr>
          <w:rFonts w:hint="eastAsia" w:asciiTheme="minorEastAsia" w:hAnsiTheme="minorEastAsia" w:eastAsiaTheme="minorEastAsia" w:cstheme="minorEastAsia"/>
          <w:b w:val="0"/>
          <w:bCs/>
          <w:sz w:val="32"/>
          <w:szCs w:val="32"/>
        </w:rPr>
        <w:t>年末结转和结余情况</w:t>
      </w:r>
    </w:p>
    <w:p>
      <w:pPr>
        <w:ind w:firstLine="64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sz w:val="32"/>
          <w:szCs w:val="32"/>
        </w:rPr>
        <w:t>201</w:t>
      </w:r>
      <w:r>
        <w:rPr>
          <w:rFonts w:hint="eastAsia" w:asciiTheme="minorEastAsia" w:hAnsiTheme="minorEastAsia" w:eastAsiaTheme="minorEastAsia" w:cstheme="minorEastAsia"/>
          <w:b w:val="0"/>
          <w:bCs/>
          <w:sz w:val="32"/>
          <w:szCs w:val="32"/>
          <w:lang w:val="en-US" w:eastAsia="zh-CN"/>
        </w:rPr>
        <w:t>9</w:t>
      </w:r>
      <w:r>
        <w:rPr>
          <w:rFonts w:hint="eastAsia" w:asciiTheme="minorEastAsia" w:hAnsiTheme="minorEastAsia" w:eastAsiaTheme="minorEastAsia" w:cstheme="minorEastAsia"/>
          <w:b w:val="0"/>
          <w:bCs/>
          <w:sz w:val="32"/>
          <w:szCs w:val="32"/>
        </w:rPr>
        <w:t>年年末财政补助结转结余</w:t>
      </w:r>
      <w:r>
        <w:rPr>
          <w:rFonts w:hint="eastAsia" w:asciiTheme="minorEastAsia" w:hAnsiTheme="minorEastAsia" w:eastAsiaTheme="minorEastAsia" w:cstheme="minorEastAsia"/>
          <w:b w:val="0"/>
          <w:bCs/>
          <w:sz w:val="32"/>
          <w:szCs w:val="32"/>
          <w:lang w:val="en-US" w:eastAsia="zh-CN"/>
        </w:rPr>
        <w:t>68619</w:t>
      </w:r>
      <w:r>
        <w:rPr>
          <w:rFonts w:hint="eastAsia" w:asciiTheme="minorEastAsia" w:hAnsiTheme="minorEastAsia" w:eastAsiaTheme="minorEastAsia" w:cstheme="minorEastAsia"/>
          <w:b w:val="0"/>
          <w:bCs/>
          <w:sz w:val="32"/>
          <w:szCs w:val="32"/>
        </w:rPr>
        <w:t>元，全部为中央和省级项目经费，预计20</w:t>
      </w:r>
      <w:r>
        <w:rPr>
          <w:rFonts w:hint="eastAsia" w:asciiTheme="minorEastAsia" w:hAnsiTheme="minorEastAsia" w:eastAsiaTheme="minorEastAsia" w:cstheme="minorEastAsia"/>
          <w:b w:val="0"/>
          <w:bCs/>
          <w:sz w:val="32"/>
          <w:szCs w:val="32"/>
          <w:lang w:val="en-US" w:eastAsia="zh-CN"/>
        </w:rPr>
        <w:t>20</w:t>
      </w:r>
      <w:r>
        <w:rPr>
          <w:rFonts w:hint="eastAsia" w:asciiTheme="minorEastAsia" w:hAnsiTheme="minorEastAsia" w:eastAsiaTheme="minorEastAsia" w:cstheme="minorEastAsia"/>
          <w:b w:val="0"/>
          <w:bCs/>
          <w:sz w:val="32"/>
          <w:szCs w:val="32"/>
        </w:rPr>
        <w:t>年继续用于省级科技项目相关工作的支出。</w:t>
      </w:r>
    </w:p>
    <w:p>
      <w:pPr>
        <w:numPr>
          <w:ilvl w:val="0"/>
          <w:numId w:val="2"/>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预算绩效管理开展及整体绩效实现情况</w:t>
      </w:r>
    </w:p>
    <w:p>
      <w:pPr>
        <w:numPr>
          <w:ilvl w:val="0"/>
          <w:numId w:val="3"/>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部门开展预算绩效管理情况</w:t>
      </w:r>
    </w:p>
    <w:p>
      <w:pPr>
        <w:numPr>
          <w:ilvl w:val="0"/>
          <w:numId w:val="0"/>
        </w:numPr>
        <w:ind w:firstLine="560" w:firstLineChars="200"/>
        <w:rPr>
          <w:rFonts w:hint="eastAsia" w:ascii="仿宋_GB2312" w:hAnsi="仿宋_GB2312" w:eastAsia="仿宋_GB2312" w:cs="仿宋_GB2312"/>
          <w:kern w:val="2"/>
          <w:sz w:val="28"/>
          <w:szCs w:val="28"/>
          <w:lang w:val="en-US" w:eastAsia="zh-CN" w:bidi="ar"/>
        </w:rPr>
      </w:pPr>
      <w:r>
        <w:rPr>
          <w:rFonts w:hint="eastAsia" w:ascii="仿宋_GB2312" w:hAnsi="仿宋_GB2312" w:eastAsia="仿宋_GB2312" w:cs="仿宋_GB2312"/>
          <w:sz w:val="28"/>
          <w:szCs w:val="28"/>
          <w:lang w:eastAsia="zh-CN"/>
        </w:rPr>
        <w:t>我</w:t>
      </w:r>
      <w:r>
        <w:rPr>
          <w:rFonts w:hint="eastAsia" w:ascii="仿宋_GB2312" w:hAnsi="仿宋_GB2312" w:eastAsia="仿宋_GB2312" w:cs="仿宋_GB2312"/>
          <w:sz w:val="28"/>
          <w:szCs w:val="28"/>
        </w:rPr>
        <w:t>院成立</w:t>
      </w:r>
      <w:r>
        <w:rPr>
          <w:rFonts w:hint="eastAsia" w:ascii="仿宋_GB2312" w:hAnsi="仿宋_GB2312" w:eastAsia="仿宋_GB2312" w:cs="仿宋_GB2312"/>
          <w:sz w:val="28"/>
          <w:szCs w:val="28"/>
          <w:lang w:eastAsia="zh-CN"/>
        </w:rPr>
        <w:t>预算绩效管理</w:t>
      </w:r>
      <w:r>
        <w:rPr>
          <w:rFonts w:hint="eastAsia" w:ascii="仿宋_GB2312" w:hAnsi="仿宋_GB2312" w:eastAsia="仿宋_GB2312" w:cs="仿宋_GB2312"/>
          <w:sz w:val="28"/>
          <w:szCs w:val="28"/>
        </w:rPr>
        <w:t>领导小组,</w:t>
      </w:r>
      <w:r>
        <w:rPr>
          <w:rFonts w:hint="eastAsia" w:ascii="仿宋_GB2312" w:hAnsi="仿宋_GB2312" w:eastAsia="仿宋_GB2312" w:cs="仿宋_GB2312"/>
          <w:sz w:val="28"/>
          <w:szCs w:val="28"/>
          <w:lang w:eastAsia="zh-CN"/>
        </w:rPr>
        <w:t>印发了</w:t>
      </w:r>
      <w:r>
        <w:rPr>
          <w:rFonts w:hint="eastAsia" w:ascii="仿宋_GB2312" w:eastAsia="仿宋_GB2312"/>
          <w:sz w:val="32"/>
          <w:szCs w:val="32"/>
        </w:rPr>
        <w:t>《预算绩效管理实施方案》</w:t>
      </w:r>
      <w:r>
        <w:rPr>
          <w:rFonts w:hint="eastAsia" w:ascii="仿宋_GB2312" w:eastAsia="仿宋_GB2312"/>
          <w:sz w:val="32"/>
          <w:szCs w:val="32"/>
          <w:lang w:eastAsia="zh-CN"/>
        </w:rPr>
        <w:t>，</w:t>
      </w:r>
      <w:r>
        <w:rPr>
          <w:rFonts w:hint="eastAsia" w:ascii="仿宋_GB2312" w:hAnsi="仿宋_GB2312" w:eastAsia="仿宋_GB2312" w:cs="仿宋_GB2312"/>
          <w:sz w:val="28"/>
          <w:szCs w:val="28"/>
          <w:lang w:eastAsia="zh-CN"/>
        </w:rPr>
        <w:t>严格按照财政要求，</w:t>
      </w:r>
      <w:r>
        <w:rPr>
          <w:rFonts w:hint="eastAsia" w:ascii="仿宋_GB2312" w:hAnsi="仿宋_GB2312" w:eastAsia="仿宋_GB2312" w:cs="仿宋_GB2312"/>
          <w:sz w:val="28"/>
          <w:szCs w:val="28"/>
        </w:rPr>
        <w:t>按照相关规定对项目实施和资金使用进行监管</w:t>
      </w:r>
      <w:r>
        <w:rPr>
          <w:rFonts w:hint="eastAsia" w:ascii="仿宋_GB2312" w:hAnsi="仿宋_GB2312" w:eastAsia="仿宋_GB2312" w:cs="仿宋_GB2312"/>
          <w:sz w:val="28"/>
          <w:szCs w:val="28"/>
          <w:lang w:eastAsia="zh-CN"/>
        </w:rPr>
        <w:t>，课题组</w:t>
      </w:r>
      <w:r>
        <w:rPr>
          <w:rFonts w:hint="eastAsia" w:ascii="仿宋_GB2312" w:hAnsi="仿宋_GB2312" w:eastAsia="仿宋_GB2312" w:cs="仿宋_GB2312"/>
          <w:sz w:val="28"/>
          <w:szCs w:val="28"/>
        </w:rPr>
        <w:t>成立项目实施小组,具体负责项目的实施方案制定、示范地点落实、配套栽培技术的实施、试验数据调查等工作，为项目的顺利实施提供保障</w:t>
      </w:r>
      <w:r>
        <w:rPr>
          <w:rFonts w:hint="eastAsia" w:ascii="仿宋_GB2312" w:hAnsi="仿宋_GB2312" w:eastAsia="仿宋_GB2312" w:cs="仿宋_GB2312"/>
          <w:sz w:val="28"/>
          <w:szCs w:val="28"/>
          <w:lang w:eastAsia="zh-CN"/>
        </w:rPr>
        <w:t>，顺利完成项目绩效目标。</w:t>
      </w:r>
    </w:p>
    <w:p>
      <w:pPr>
        <w:numPr>
          <w:ilvl w:val="0"/>
          <w:numId w:val="3"/>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工作履行活动完成情况</w:t>
      </w:r>
    </w:p>
    <w:p>
      <w:pPr>
        <w:numPr>
          <w:ilvl w:val="0"/>
          <w:numId w:val="0"/>
        </w:numPr>
        <w:spacing w:line="240" w:lineRule="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1.自主创新取得新进展。顺应农业供给侧结构性改革需求，以提升科技生产力为目标，积极争跑各级各类项目28项，经费273万元。其中，两项国家重点研发计划重点专项等一批国家、省级项目相继落户我院，项目质量、研究层次明显提升。</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玉米育种再创佳绩。2019年，邢玉18号、邢玉381号玉米新品种双双通过了河北省审定。省审品种邢玉11号通过了河南省引种备案。这些新品种以耐旱抗病、籽粒脱水快，抗逆性强等为代表的特性，正在引领和推动玉米产业的升级换代，产生了显著的社会效益和经济效益。玉米育种创新团队荣获了“邢台市优秀科技创新团队”、“邢台市工人先锋号”等荣誉称号。</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是花生育种颇有特色。2019年，完成了邢花6号、邢花7号、邢花9号和邢花10号等4个品种的省级登记。新育成的苗头品系邢花201001在国家试验中荚果和籽仁均列第一位。邢花系列新品种以其口感好、品质好、抗性好、宜机收等优点为群众所喜爱。</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是小麦育种优势明显。承担的两项国家重点研发计划和国家试验站项目稳步推进，选育的邢麦26、邢麦29、邢麦33等苗头品系分别参加河北省生产试验和国家良种攻关大区试验，表现良好，有望明年通过审定。在5个示范县建立10个小麦示范基地，示范面积8820亩，平均亩产513公斤，增产12.5%，起到很好的示范带动作用。</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是新兴学科稳步推进。围绕邢台市农业产业需求，积极拓宽研究领域，调整科研方向，新上了酸枣、中草药、食用菌、名优特蔬菜等研究课题，取得初步成效，冀中南山区林下灰树花研究等6个成果获得河北省成果登记，一种花生芽栽培装置等13项成果获得国家专利授权，智能化水肥系统等13项获得软件著作权，发表论文24篇。野生驯化灰树花、大宗中药材配套技术、农业废弃物综合利用等一大批成果展现了良好的应用前景。</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科技服务呈现新亮点。充分发挥自身优势，以谋邢台百姓福祉为出发点，以促地方经济发展为着眼点，整合科技资源，加强院地合作，努力把农业科技优势转化为产业优势，辐射带动地方农业增产、农民增收、农村繁荣。</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建基地。在全市不同生态类型区建设各类高标准试验示范基地10多个，展示推广20多个新品种及配套技术，辐射带动30多万亩。与冀中能源邢矿公司合作建立高油酸花生示范基地，并引导该公司注册高油酸花生油商标；指导河北金沙河面业集团有限责任公建设了万亩油葵、油菜“旅油基地”，发展“现代农业+旅游”，推进一二三产业融合发展；高标准建设了桥西秋硕马场梨农业科技示范基地，引进耐寒的甘蓝型油菜、紫云英、二月兰等多种绿肥种植技术，研究推广用地养地相结合及节水技术新模式，引导开展季节性休耕，探索出一条节水生态、低耗高效农业种植结构调整之路。</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是抓培训。我们先后与中国农业科学院联合举办了国家小麦良种重大科研联合攻关节水小麦新品种展示观摩会、全国“小麦绿色发展研讨与培训会”等大型培训会8次。邀请中国工程院院士赵振东院士等及各省市专家百余人来邢参会，共同研究探讨小麦绿色发展新思路，与会专家、学者对我院科研和试验示范基地给与高度评价。</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三是搞服务。按照全面打好精准脱贫攻坚战要求，组织专家走千村、进万户，开展应时、应急、应邀服务。选派24名省级科技特派员，分赴全市10个贫困县开展科技扶贫，进行一对一的技术帮扶和产业扶持，做到发展一个产业，带动一方经济，富裕一方百姓，深受农民欢迎。 </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是促交流。组织召开了国家优质小麦水肥高效栽培及产业化发展高级研修班，通过开展优质小麦栽培新理论、新知识、新技术、新方法的专项培训，使专业技术人员拓展了学识，开阔了视野。10月18日，河北省第三届三次市级农科院科技创新经验交流会在我市召开。会上，交流了我院在科技创新、成果转化、扶贫攻坚等方面先进经验，受到了省农林科学院领导的高度赞扬。展示了我院形象，搭建了交流平台，对标了先进院所，推动了创新发展。</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综合管理再上新台阶。以开展“不忘初心、牢记使命”主题教育为契机，狠抓以制度建设、服务管理、严明纪律为核心的综合管理工作，进一步增强了大家的法治观念、规矩意识，全院工作管理更规范、责任更明晰、执行更高效、作风更务实。</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加强综合管理。对机关有关规章制度、工作流程进行梳理、完善，规范权力运行，建立健全《财务报销制度》、《农业研究和推广系列专业技术职务评聘量化标准》、《档案管理制度》等规章制度，制度体系更加完善。积极协调人事等部门，争取了中初级统筹使用政策，完成了12名青年专业技术人员的晋职晋档，点燃了干事创业的激情。</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是扎实推进基地建设。精心组织，强化措施，严格管理，完成农试场整体搬迁前期各项工作。争取资金80万元，完成了南繁修缮工程并投入使用。其中，修建科研用房、晒场和晾晒棚，平整了田间道路，完善田间机井和喷灌系统等。建好南繁科研育种基地，服务好科研育种，对我市科技创新、人才培育、育种实力提升具有重要意义。</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是为民服务解难题。牢固树立以人民为中心的发展思想，焦职工关心、关注、关切的要事、实事、难事，把推进历史遗留项目不动产权证办理工作作为一项重要的政治任务，明确专人，多方协调，为1-4#住宅楼130余户办理了不动产使用证，解决了长达十几年之久的历史遗留问题，切实维护干部职工的合法权益。</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是规范机关秩序。修建了乒乓球室、篮球场，圈建了机关围墙，改造了机关门岗，装备了实验室，新建了职工食堂，检修了暖气管网，规范了机关秩序，为科技人员提供了一个方便、舒适的科研工作环境。通过开展职工参加市直工间操、歌唱祖国歌咏比赛等活动，丰富了职工业余生活。</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4.党建工作开创新局面。全面推进党的建设，教育引导党员干部学深悟透习近平新时代中国特色社会主义思想和党的十九届四中全会精神，增强“四个意识”、坚定“四个自信”，做到“两个维护”。</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强化思想教育。每月按时开展党组理论中心组学习、“党员主题日”活动，深入开展“不忘初心，牢记使命”主题教育活动，切实作为一项重大政治任务，按照中央、省委和市委统一部署，以强烈的责任担当，把主题教育组织好开展好落实好，切实做到了理论学习有收获、思想政治受洗礼、干事创业敢担当、为民服务解难题、清正廉洁作表率，为推动农科院各项事业跨越发展提供了强大动力、营造了良好氛围、筑牢了思想根基。</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是严肃党内政治生活。严格落实党风廉政建设主体责任、“一岗双责”、“三会一课”等制度，定期召开党员大会、支部党员大会、支部委员会，党组书记、院长龙兴洲多次为全体党员讲党课，各支部书记在支部带头讲党课，全年组织开展集中学习30余次，组织机关全体同先后赴临城李保国纪念馆、前南峪等地，大力加强革命传统教育、党性教育，弘扬忠诚老实、公道正派、实事求是、清正廉洁等价值观。</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是开展廉政教育警示教育。通过组织全院职工赴邢台市廉政教育基地等活动，对全院干部开展了一系列廉政教育系列活动，扎实有效的推进党风廉政建设和反腐败工作，进一步提高党员干部的拒腐防变能力，推动全面从严治党向纵深发展，促进了全院的健康稳步快速发展。</w:t>
      </w:r>
    </w:p>
    <w:p>
      <w:pPr>
        <w:numPr>
          <w:ilvl w:val="0"/>
          <w:numId w:val="3"/>
        </w:numPr>
        <w:spacing w:line="240" w:lineRule="auto"/>
        <w:ind w:firstLine="640" w:firstLineChars="200"/>
        <w:rPr>
          <w:rFonts w:hint="eastAsia" w:ascii="仿宋_GB2312" w:hAnsi="仿宋_GB2312" w:eastAsia="仿宋_GB2312" w:cs="仿宋_GB2312"/>
          <w:sz w:val="32"/>
          <w:szCs w:val="32"/>
          <w:lang w:eastAsia="zh-CN"/>
        </w:rPr>
      </w:pPr>
      <w:r>
        <w:rPr>
          <w:rFonts w:hint="eastAsia" w:ascii="仿宋" w:hAnsi="仿宋" w:eastAsia="仿宋" w:cs="仿宋"/>
          <w:sz w:val="32"/>
          <w:szCs w:val="32"/>
          <w:lang w:val="en-US" w:eastAsia="zh-CN"/>
        </w:rPr>
        <w:t>实施履职活动产生的效果及社会公众或服务对象满意程度</w:t>
      </w:r>
    </w:p>
    <w:p>
      <w:pPr>
        <w:numPr>
          <w:ilvl w:val="0"/>
          <w:numId w:val="0"/>
        </w:numPr>
        <w:spacing w:line="240" w:lineRule="auto"/>
        <w:rPr>
          <w:rFonts w:hint="eastAsia" w:ascii="仿宋_GB2312" w:hAnsi="仿宋_GB2312" w:eastAsia="仿宋_GB2312" w:cs="仿宋_GB2312"/>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sz w:val="32"/>
          <w:szCs w:val="32"/>
          <w:lang w:eastAsia="zh-CN"/>
        </w:rPr>
        <w:t>一年来</w:t>
      </w:r>
      <w:r>
        <w:rPr>
          <w:rFonts w:hint="eastAsia" w:ascii="仿宋" w:hAnsi="仿宋" w:eastAsia="仿宋"/>
          <w:sz w:val="32"/>
          <w:szCs w:val="32"/>
        </w:rPr>
        <w:t>，</w:t>
      </w:r>
      <w:r>
        <w:rPr>
          <w:rFonts w:hint="eastAsia" w:ascii="仿宋" w:hAnsi="仿宋" w:eastAsia="仿宋" w:cs="仿宋"/>
          <w:sz w:val="32"/>
          <w:szCs w:val="32"/>
          <w:lang w:val="en-US" w:eastAsia="zh-CN"/>
        </w:rPr>
        <w:t>我</w:t>
      </w:r>
      <w:r>
        <w:rPr>
          <w:rFonts w:hint="eastAsia" w:ascii="仿宋" w:hAnsi="仿宋" w:eastAsia="仿宋"/>
          <w:sz w:val="32"/>
          <w:szCs w:val="32"/>
        </w:rPr>
        <w:t>院</w:t>
      </w:r>
      <w:r>
        <w:rPr>
          <w:rFonts w:hint="eastAsia" w:ascii="仿宋" w:hAnsi="仿宋" w:eastAsia="仿宋"/>
          <w:sz w:val="32"/>
          <w:szCs w:val="32"/>
          <w:lang w:eastAsia="zh-CN"/>
        </w:rPr>
        <w:t>坚持以习近平新时代中国特色社会主义思想为指导，全面落实</w:t>
      </w:r>
      <w:r>
        <w:rPr>
          <w:rFonts w:hint="eastAsia" w:ascii="仿宋" w:hAnsi="仿宋" w:eastAsia="仿宋"/>
          <w:sz w:val="32"/>
          <w:szCs w:val="32"/>
        </w:rPr>
        <w:t>市委市政府的</w:t>
      </w:r>
      <w:r>
        <w:rPr>
          <w:rFonts w:hint="eastAsia" w:ascii="仿宋" w:hAnsi="仿宋" w:eastAsia="仿宋"/>
          <w:sz w:val="32"/>
          <w:szCs w:val="32"/>
          <w:lang w:eastAsia="zh-CN"/>
        </w:rPr>
        <w:t>决策部署，扎实开展“不忘初心、牢记使命”主题教育</w:t>
      </w:r>
      <w:r>
        <w:rPr>
          <w:rFonts w:hint="eastAsia" w:ascii="仿宋" w:hAnsi="仿宋" w:eastAsia="仿宋"/>
          <w:sz w:val="32"/>
          <w:szCs w:val="32"/>
        </w:rPr>
        <w:t>，</w:t>
      </w:r>
      <w:r>
        <w:rPr>
          <w:rFonts w:hint="eastAsia" w:ascii="仿宋" w:hAnsi="仿宋" w:eastAsia="仿宋" w:cs="仿宋"/>
          <w:sz w:val="32"/>
          <w:szCs w:val="32"/>
        </w:rPr>
        <w:t>聚焦乡村振兴战略，</w:t>
      </w:r>
      <w:r>
        <w:rPr>
          <w:rFonts w:hint="eastAsia" w:ascii="仿宋_GB2312" w:eastAsia="仿宋_GB2312"/>
          <w:kern w:val="0"/>
          <w:sz w:val="32"/>
          <w:szCs w:val="32"/>
        </w:rPr>
        <w:t>团结一心，主动作</w:t>
      </w:r>
      <w:r>
        <w:rPr>
          <w:rFonts w:hint="eastAsia" w:ascii="仿宋" w:hAnsi="仿宋" w:eastAsia="仿宋"/>
          <w:sz w:val="32"/>
          <w:szCs w:val="32"/>
          <w:lang w:eastAsia="zh-CN"/>
        </w:rPr>
        <w:t>为，</w:t>
      </w:r>
      <w:r>
        <w:rPr>
          <w:rFonts w:hint="eastAsia" w:ascii="仿宋" w:hAnsi="仿宋" w:eastAsia="仿宋" w:cs="仿宋"/>
          <w:sz w:val="32"/>
          <w:szCs w:val="32"/>
        </w:rPr>
        <w:t>不断加大农业科技创新、科技服务力度，不断强化自身建设，</w:t>
      </w:r>
      <w:r>
        <w:rPr>
          <w:rFonts w:hint="eastAsia" w:ascii="仿宋" w:hAnsi="仿宋" w:eastAsia="仿宋"/>
          <w:sz w:val="32"/>
          <w:szCs w:val="32"/>
          <w:lang w:eastAsia="zh-CN"/>
        </w:rPr>
        <w:t>育成邢玉</w:t>
      </w:r>
      <w:r>
        <w:rPr>
          <w:rFonts w:hint="eastAsia" w:ascii="仿宋" w:hAnsi="仿宋" w:eastAsia="仿宋"/>
          <w:sz w:val="32"/>
          <w:szCs w:val="32"/>
          <w:lang w:val="en-US" w:eastAsia="zh-CN"/>
        </w:rPr>
        <w:t>18号等4个省审新品种，荣获6项省级成果，</w:t>
      </w:r>
      <w:r>
        <w:rPr>
          <w:rFonts w:hint="eastAsia" w:ascii="仿宋" w:hAnsi="仿宋" w:eastAsia="仿宋"/>
          <w:sz w:val="32"/>
          <w:szCs w:val="32"/>
          <w:lang w:eastAsia="zh-CN"/>
        </w:rPr>
        <w:t>取得了显著的社会经济效益，</w:t>
      </w:r>
      <w:r>
        <w:rPr>
          <w:rFonts w:hint="default" w:ascii="仿宋" w:hAnsi="仿宋" w:eastAsia="仿宋"/>
          <w:sz w:val="32"/>
          <w:szCs w:val="32"/>
          <w:lang w:val="en-US" w:eastAsia="zh-CN"/>
        </w:rPr>
        <w:t>全院各项事业实现持续稳定发展</w:t>
      </w:r>
      <w:r>
        <w:rPr>
          <w:rFonts w:hint="eastAsia" w:ascii="仿宋" w:hAnsi="仿宋" w:eastAsia="仿宋"/>
          <w:sz w:val="32"/>
          <w:szCs w:val="32"/>
          <w:lang w:val="en-US" w:eastAsia="zh-CN"/>
        </w:rPr>
        <w:t>，</w:t>
      </w:r>
      <w:r>
        <w:rPr>
          <w:rFonts w:hint="default" w:ascii="仿宋" w:hAnsi="仿宋" w:eastAsia="仿宋"/>
          <w:sz w:val="32"/>
          <w:szCs w:val="32"/>
          <w:lang w:val="en-US" w:eastAsia="zh-CN"/>
        </w:rPr>
        <w:t>综合实力显著提升，社会影响力明显增强。</w:t>
      </w:r>
      <w:r>
        <w:rPr>
          <w:rFonts w:hint="default" w:ascii="仿宋" w:hAnsi="仿宋" w:eastAsia="仿宋"/>
          <w:sz w:val="32"/>
          <w:szCs w:val="32"/>
          <w:lang w:val="en-US" w:eastAsia="zh-CN"/>
        </w:rPr>
        <w:br w:type="textWrapping"/>
      </w:r>
      <w:r>
        <w:rPr>
          <w:rFonts w:hint="eastAsia" w:ascii="仿宋" w:hAnsi="仿宋" w:eastAsia="仿宋"/>
          <w:sz w:val="32"/>
          <w:szCs w:val="32"/>
          <w:lang w:val="en-US" w:eastAsia="zh-CN"/>
        </w:rPr>
        <w:t xml:space="preserve">    </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绩效评价的组织实施情况</w:t>
      </w:r>
    </w:p>
    <w:p>
      <w:pPr>
        <w:keepNext w:val="0"/>
        <w:keepLines w:val="0"/>
        <w:pageBreakBefore w:val="0"/>
        <w:kinsoku/>
        <w:wordWrap/>
        <w:overflowPunct/>
        <w:topLinePunct w:val="0"/>
        <w:autoSpaceDE/>
        <w:autoSpaceDN/>
        <w:bidi w:val="0"/>
        <w:adjustRightInd/>
        <w:snapToGrid w:val="0"/>
        <w:spacing w:before="0" w:after="0" w:line="560" w:lineRule="exact"/>
        <w:ind w:right="0" w:rightChars="0" w:firstLine="640" w:firstLineChars="200"/>
        <w:textAlignment w:val="auto"/>
        <w:rPr>
          <w:rFonts w:hint="eastAsia" w:ascii="仿宋_GB2312" w:hAnsi="仿宋_GB2312" w:eastAsia="仿宋_GB2312"/>
          <w:sz w:val="32"/>
          <w:szCs w:val="32"/>
          <w:lang w:eastAsia="zh-CN"/>
        </w:rPr>
      </w:pPr>
      <w:r>
        <w:rPr>
          <w:rFonts w:hint="eastAsia" w:ascii="仿宋_GB2312" w:hAnsi="仿宋_GB2312" w:eastAsia="仿宋_GB2312"/>
          <w:sz w:val="32"/>
          <w:szCs w:val="32"/>
        </w:rPr>
        <w:t>按照《</w:t>
      </w:r>
      <w:r>
        <w:rPr>
          <w:rFonts w:hint="eastAsia" w:ascii="仿宋_GB2312" w:hAnsi="仿宋_GB2312" w:eastAsia="仿宋_GB2312"/>
          <w:sz w:val="32"/>
          <w:szCs w:val="32"/>
          <w:lang w:eastAsia="zh-CN"/>
        </w:rPr>
        <w:t>邢台市财政局关于开展</w:t>
      </w:r>
      <w:r>
        <w:rPr>
          <w:rFonts w:hint="eastAsia" w:ascii="仿宋_GB2312" w:hAnsi="仿宋_GB2312" w:eastAsia="仿宋_GB2312"/>
          <w:sz w:val="32"/>
          <w:szCs w:val="32"/>
          <w:lang w:val="en-US" w:eastAsia="zh-CN"/>
        </w:rPr>
        <w:t>2019年市级部门支出绩效自评和部门整体支出绩效自评工作的通知</w:t>
      </w:r>
      <w:r>
        <w:rPr>
          <w:rFonts w:hint="eastAsia" w:ascii="仿宋_GB2312" w:hAnsi="仿宋_GB2312" w:eastAsia="仿宋_GB2312"/>
          <w:sz w:val="32"/>
          <w:szCs w:val="32"/>
        </w:rPr>
        <w:t>》（</w:t>
      </w:r>
      <w:r>
        <w:rPr>
          <w:rFonts w:hint="eastAsia" w:ascii="仿宋_GB2312" w:hAnsi="仿宋_GB2312" w:eastAsia="仿宋_GB2312"/>
          <w:sz w:val="32"/>
          <w:szCs w:val="32"/>
          <w:lang w:eastAsia="zh-CN"/>
        </w:rPr>
        <w:t>邢市财监</w:t>
      </w:r>
      <w:r>
        <w:rPr>
          <w:rFonts w:hint="eastAsia" w:ascii="仿宋_GB2312" w:hAnsi="仿宋_GB2312" w:eastAsia="仿宋_GB2312"/>
          <w:sz w:val="32"/>
          <w:szCs w:val="32"/>
        </w:rPr>
        <w:t>〔20</w:t>
      </w:r>
      <w:r>
        <w:rPr>
          <w:rFonts w:hint="eastAsia" w:ascii="仿宋_GB2312" w:hAnsi="仿宋_GB2312" w:eastAsia="仿宋_GB2312"/>
          <w:sz w:val="32"/>
          <w:szCs w:val="32"/>
          <w:lang w:val="en-US" w:eastAsia="zh-CN"/>
        </w:rPr>
        <w:t>20</w:t>
      </w:r>
      <w:r>
        <w:rPr>
          <w:rFonts w:hint="eastAsia" w:ascii="仿宋_GB2312" w:hAnsi="仿宋_GB2312" w:eastAsia="仿宋_GB2312"/>
          <w:sz w:val="32"/>
          <w:szCs w:val="32"/>
        </w:rPr>
        <w:t>〕</w:t>
      </w:r>
      <w:r>
        <w:rPr>
          <w:rFonts w:hint="eastAsia" w:ascii="仿宋_GB2312" w:hAnsi="仿宋_GB2312" w:eastAsia="仿宋_GB2312"/>
          <w:sz w:val="32"/>
          <w:szCs w:val="32"/>
          <w:lang w:val="en-US" w:eastAsia="zh-CN"/>
        </w:rPr>
        <w:t>6</w:t>
      </w:r>
      <w:r>
        <w:rPr>
          <w:rFonts w:hint="eastAsia" w:ascii="仿宋_GB2312" w:hAnsi="仿宋_GB2312" w:eastAsia="仿宋_GB2312"/>
          <w:sz w:val="32"/>
          <w:szCs w:val="32"/>
        </w:rPr>
        <w:t>号）</w:t>
      </w:r>
      <w:r>
        <w:rPr>
          <w:rFonts w:hint="eastAsia" w:ascii="仿宋_GB2312" w:hAnsi="仿宋_GB2312" w:eastAsia="仿宋_GB2312"/>
          <w:sz w:val="32"/>
          <w:szCs w:val="32"/>
          <w:lang w:eastAsia="zh-CN"/>
        </w:rPr>
        <w:t>工作部署</w:t>
      </w:r>
      <w:r>
        <w:rPr>
          <w:rFonts w:hint="eastAsia" w:ascii="仿宋_GB2312" w:hAnsi="仿宋_GB2312" w:eastAsia="仿宋_GB2312"/>
          <w:sz w:val="32"/>
          <w:szCs w:val="32"/>
        </w:rPr>
        <w:t>，</w:t>
      </w:r>
      <w:r>
        <w:rPr>
          <w:rFonts w:hint="eastAsia" w:ascii="仿宋_GB2312" w:hAnsi="仿宋_GB2312" w:eastAsia="仿宋_GB2312"/>
          <w:sz w:val="32"/>
          <w:szCs w:val="32"/>
          <w:lang w:eastAsia="zh-CN"/>
        </w:rPr>
        <w:t>我院财务处认真学习了相关文件，正式通知院</w:t>
      </w:r>
      <w:r>
        <w:rPr>
          <w:rFonts w:hint="eastAsia" w:ascii="仿宋_GB2312" w:hAnsi="仿宋_GB2312" w:eastAsia="仿宋_GB2312"/>
          <w:sz w:val="32"/>
          <w:szCs w:val="32"/>
        </w:rPr>
        <w:t>机关</w:t>
      </w:r>
      <w:r>
        <w:rPr>
          <w:rFonts w:hint="eastAsia" w:ascii="仿宋_GB2312" w:hAnsi="仿宋_GB2312" w:eastAsia="仿宋_GB2312"/>
          <w:sz w:val="32"/>
          <w:szCs w:val="32"/>
          <w:lang w:eastAsia="zh-CN"/>
        </w:rPr>
        <w:t>相关处室须在</w:t>
      </w:r>
      <w:r>
        <w:rPr>
          <w:rFonts w:hint="eastAsia" w:ascii="仿宋_GB2312" w:hAnsi="仿宋_GB2312" w:eastAsia="仿宋_GB2312"/>
          <w:sz w:val="32"/>
          <w:szCs w:val="32"/>
          <w:lang w:val="en-US" w:eastAsia="zh-CN"/>
        </w:rPr>
        <w:t>4月23日之前，</w:t>
      </w:r>
      <w:r>
        <w:rPr>
          <w:rFonts w:hint="eastAsia" w:ascii="仿宋_GB2312" w:hAnsi="仿宋_GB2312" w:eastAsia="仿宋_GB2312"/>
          <w:sz w:val="32"/>
          <w:szCs w:val="32"/>
          <w:lang w:eastAsia="zh-CN"/>
        </w:rPr>
        <w:t>对各自承担的</w:t>
      </w:r>
      <w:r>
        <w:rPr>
          <w:rFonts w:hint="eastAsia" w:ascii="仿宋_GB2312" w:hAnsi="仿宋_GB2312" w:eastAsia="仿宋_GB2312"/>
          <w:sz w:val="32"/>
          <w:szCs w:val="32"/>
          <w:lang w:val="en-US" w:eastAsia="zh-CN"/>
        </w:rPr>
        <w:t>2019</w:t>
      </w:r>
      <w:r>
        <w:rPr>
          <w:rFonts w:hint="eastAsia" w:ascii="仿宋_GB2312" w:hAnsi="仿宋_GB2312" w:eastAsia="仿宋_GB2312"/>
          <w:sz w:val="32"/>
          <w:szCs w:val="32"/>
        </w:rPr>
        <w:t>年度</w:t>
      </w:r>
      <w:r>
        <w:rPr>
          <w:rFonts w:hint="eastAsia" w:ascii="仿宋_GB2312" w:hAnsi="仿宋_GB2312" w:eastAsia="仿宋_GB2312"/>
          <w:sz w:val="32"/>
          <w:szCs w:val="32"/>
          <w:lang w:eastAsia="zh-CN"/>
        </w:rPr>
        <w:t>财政资金应用情况做</w:t>
      </w:r>
      <w:r>
        <w:rPr>
          <w:rFonts w:hint="eastAsia" w:ascii="仿宋_GB2312" w:hAnsi="仿宋_GB2312" w:eastAsia="仿宋_GB2312"/>
          <w:sz w:val="32"/>
          <w:szCs w:val="32"/>
        </w:rPr>
        <w:t>全面自评</w:t>
      </w:r>
      <w:r>
        <w:rPr>
          <w:rFonts w:hint="eastAsia" w:ascii="仿宋_GB2312" w:hAnsi="仿宋_GB2312" w:eastAsia="仿宋_GB2312"/>
          <w:sz w:val="32"/>
          <w:szCs w:val="32"/>
          <w:lang w:eastAsia="zh-CN"/>
        </w:rPr>
        <w:t>。</w:t>
      </w:r>
    </w:p>
    <w:p>
      <w:pPr>
        <w:keepNext w:val="0"/>
        <w:keepLines w:val="0"/>
        <w:pageBreakBefore w:val="0"/>
        <w:numPr>
          <w:ilvl w:val="0"/>
          <w:numId w:val="4"/>
        </w:numPr>
        <w:kinsoku/>
        <w:wordWrap/>
        <w:overflowPunct/>
        <w:topLinePunct w:val="0"/>
        <w:autoSpaceDE/>
        <w:autoSpaceDN/>
        <w:bidi w:val="0"/>
        <w:adjustRightInd/>
        <w:snapToGrid w:val="0"/>
        <w:spacing w:before="0" w:after="0" w:line="560" w:lineRule="exact"/>
        <w:ind w:right="0" w:rightChars="0" w:firstLine="640" w:firstLineChars="200"/>
        <w:textAlignment w:val="auto"/>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准备工作</w:t>
      </w:r>
    </w:p>
    <w:p>
      <w:pPr>
        <w:keepNext w:val="0"/>
        <w:keepLines w:val="0"/>
        <w:pageBreakBefore w:val="0"/>
        <w:numPr>
          <w:ilvl w:val="0"/>
          <w:numId w:val="0"/>
        </w:numPr>
        <w:kinsoku/>
        <w:wordWrap/>
        <w:overflowPunct/>
        <w:topLinePunct w:val="0"/>
        <w:autoSpaceDE/>
        <w:autoSpaceDN/>
        <w:bidi w:val="0"/>
        <w:adjustRightInd/>
        <w:snapToGrid w:val="0"/>
        <w:spacing w:before="0" w:after="0" w:line="560" w:lineRule="exact"/>
        <w:ind w:right="0" w:rightChars="0"/>
        <w:textAlignment w:val="auto"/>
        <w:rPr>
          <w:rFonts w:hint="eastAsia" w:ascii="仿宋_GB2312" w:hAnsi="仿宋_GB2312" w:eastAsia="仿宋_GB2312"/>
          <w:sz w:val="32"/>
          <w:szCs w:val="32"/>
        </w:rPr>
      </w:pPr>
      <w:r>
        <w:rPr>
          <w:rFonts w:hint="eastAsia" w:ascii="仿宋_GB2312" w:eastAsia="仿宋_GB2312" w:cs="仿宋_GB2312"/>
          <w:sz w:val="32"/>
          <w:szCs w:val="32"/>
          <w:lang w:val="en-US" w:eastAsia="zh-CN"/>
        </w:rPr>
        <w:t xml:space="preserve">    </w:t>
      </w:r>
      <w:r>
        <w:rPr>
          <w:rFonts w:hint="eastAsia" w:ascii="仿宋_GB2312" w:eastAsia="仿宋_GB2312" w:cs="仿宋_GB2312"/>
          <w:sz w:val="32"/>
          <w:szCs w:val="32"/>
          <w:lang w:eastAsia="zh-CN"/>
        </w:rPr>
        <w:t>院相关处室</w:t>
      </w:r>
      <w:r>
        <w:rPr>
          <w:rFonts w:hint="eastAsia" w:ascii="仿宋_GB2312" w:eastAsia="仿宋_GB2312" w:cs="仿宋_GB2312"/>
          <w:sz w:val="32"/>
          <w:szCs w:val="32"/>
        </w:rPr>
        <w:t>是</w:t>
      </w:r>
      <w:r>
        <w:rPr>
          <w:rFonts w:hint="eastAsia" w:ascii="仿宋_GB2312" w:eastAsia="仿宋_GB2312" w:cs="仿宋_GB2312"/>
          <w:sz w:val="32"/>
          <w:szCs w:val="32"/>
          <w:lang w:eastAsia="zh-CN"/>
        </w:rPr>
        <w:t>本次项目</w:t>
      </w:r>
      <w:r>
        <w:rPr>
          <w:rFonts w:hint="eastAsia" w:ascii="仿宋_GB2312" w:eastAsia="仿宋_GB2312" w:cs="仿宋_GB2312"/>
          <w:sz w:val="32"/>
          <w:szCs w:val="32"/>
        </w:rPr>
        <w:t>绩效自评工作的</w:t>
      </w:r>
      <w:r>
        <w:rPr>
          <w:rFonts w:hint="eastAsia" w:ascii="仿宋_GB2312" w:eastAsia="仿宋_GB2312" w:cs="仿宋_GB2312"/>
          <w:sz w:val="32"/>
          <w:szCs w:val="32"/>
          <w:lang w:eastAsia="zh-CN"/>
        </w:rPr>
        <w:t>实施</w:t>
      </w:r>
      <w:r>
        <w:rPr>
          <w:rFonts w:hint="eastAsia" w:ascii="仿宋_GB2312" w:eastAsia="仿宋_GB2312" w:cs="仿宋_GB2312"/>
          <w:sz w:val="32"/>
          <w:szCs w:val="32"/>
        </w:rPr>
        <w:t>主体。</w:t>
      </w:r>
      <w:r>
        <w:rPr>
          <w:rFonts w:hint="eastAsia" w:ascii="仿宋_GB2312" w:eastAsia="仿宋_GB2312" w:cs="仿宋_GB2312"/>
          <w:sz w:val="32"/>
          <w:szCs w:val="32"/>
          <w:lang w:eastAsia="zh-CN"/>
        </w:rPr>
        <w:t>各相关处室</w:t>
      </w:r>
      <w:r>
        <w:rPr>
          <w:rFonts w:hint="eastAsia" w:ascii="仿宋_GB2312" w:hAnsi="仿宋_GB2312" w:eastAsia="仿宋_GB2312"/>
          <w:sz w:val="32"/>
          <w:szCs w:val="32"/>
        </w:rPr>
        <w:t>按通知要求，首先确定绩效评价工作人员，制定绩效评价工作方案，收集绩效评价相关资料，对资料进行审查核实。具体本项目，首先按照通知要求，组建</w:t>
      </w:r>
      <w:r>
        <w:rPr>
          <w:rFonts w:hint="eastAsia" w:ascii="仿宋_GB2312" w:hAnsi="仿宋_GB2312" w:eastAsia="仿宋_GB2312"/>
          <w:sz w:val="32"/>
          <w:szCs w:val="32"/>
          <w:lang w:eastAsia="zh-CN"/>
        </w:rPr>
        <w:t>主管院</w:t>
      </w:r>
      <w:r>
        <w:rPr>
          <w:rFonts w:hint="eastAsia" w:ascii="仿宋_GB2312" w:hAnsi="仿宋_GB2312" w:eastAsia="仿宋_GB2312"/>
          <w:sz w:val="32"/>
          <w:szCs w:val="32"/>
        </w:rPr>
        <w:t>长为评价组负责人的绩效评价工作小组，课题主持人负责绩效评价的具体实施。制定统一的工作方案，分头实施。其中，课题组人员负责对照项目合同书，搜集整理相关材料。科</w:t>
      </w:r>
      <w:r>
        <w:rPr>
          <w:rFonts w:hint="eastAsia" w:ascii="仿宋_GB2312" w:hAnsi="仿宋_GB2312" w:eastAsia="仿宋_GB2312"/>
          <w:sz w:val="32"/>
          <w:szCs w:val="32"/>
          <w:lang w:eastAsia="zh-CN"/>
        </w:rPr>
        <w:t>管处</w:t>
      </w:r>
      <w:r>
        <w:rPr>
          <w:rFonts w:hint="eastAsia" w:ascii="仿宋_GB2312" w:hAnsi="仿宋_GB2312" w:eastAsia="仿宋_GB2312"/>
          <w:sz w:val="32"/>
          <w:szCs w:val="32"/>
        </w:rPr>
        <w:t>负责项目管理绩效的评价，财务部门负责人负责财务预算和财务支出项目的审查等。</w:t>
      </w:r>
    </w:p>
    <w:p>
      <w:pPr>
        <w:keepNext w:val="0"/>
        <w:keepLines w:val="0"/>
        <w:pageBreakBefore w:val="0"/>
        <w:kinsoku/>
        <w:wordWrap/>
        <w:overflowPunct/>
        <w:topLinePunct w:val="0"/>
        <w:autoSpaceDE/>
        <w:autoSpaceDN/>
        <w:bidi w:val="0"/>
        <w:adjustRightInd/>
        <w:snapToGrid w:val="0"/>
        <w:spacing w:before="0" w:after="0" w:line="560" w:lineRule="exact"/>
        <w:ind w:right="0" w:rightChars="0"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rPr>
        <w:t>2、组织实施</w:t>
      </w:r>
    </w:p>
    <w:p>
      <w:pPr>
        <w:keepNext w:val="0"/>
        <w:keepLines w:val="0"/>
        <w:pageBreakBefore w:val="0"/>
        <w:widowControl/>
        <w:kinsoku/>
        <w:wordWrap/>
        <w:overflowPunct/>
        <w:topLinePunct w:val="0"/>
        <w:autoSpaceDE/>
        <w:autoSpaceDN/>
        <w:bidi w:val="0"/>
        <w:adjustRightInd/>
        <w:snapToGrid w:val="0"/>
        <w:spacing w:before="0" w:after="0" w:line="560" w:lineRule="exact"/>
        <w:ind w:right="0" w:rightChars="0" w:firstLine="640" w:firstLineChars="200"/>
        <w:jc w:val="left"/>
        <w:textAlignment w:val="auto"/>
        <w:rPr>
          <w:rFonts w:hint="eastAsia" w:ascii="仿宋_GB2312" w:hAnsi="仿宋_GB2312" w:eastAsia="仿宋_GB2312" w:cs="宋体"/>
          <w:sz w:val="32"/>
        </w:rPr>
      </w:pPr>
      <w:r>
        <w:rPr>
          <w:rFonts w:hint="eastAsia" w:ascii="仿宋_GB2312" w:hAnsi="仿宋_GB2312" w:eastAsia="仿宋_GB2312"/>
          <w:sz w:val="32"/>
          <w:szCs w:val="32"/>
        </w:rPr>
        <w:t>工作小组按统一方案撰写项目绩效评价报告</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向有关专家提交绩效评价报告</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专家根据附表“评价表”中内容逐项评分</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专家综合分析意见，并形成评价结论</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评价组负责人给出综合评价等级</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建立绩效评价档案。</w:t>
      </w:r>
    </w:p>
    <w:p>
      <w:pPr>
        <w:numPr>
          <w:ilvl w:val="0"/>
          <w:numId w:val="5"/>
        </w:numPr>
        <w:bidi w:val="0"/>
        <w:ind w:firstLine="640" w:firstLineChars="20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评价对象绩效目标、绩效指标</w:t>
      </w:r>
    </w:p>
    <w:p>
      <w:pPr>
        <w:numPr>
          <w:ilvl w:val="0"/>
          <w:numId w:val="0"/>
        </w:numPr>
        <w:bidi w:val="0"/>
        <w:ind w:firstLine="640" w:firstLineChars="20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评价标准和评价方法</w:t>
      </w:r>
    </w:p>
    <w:p>
      <w:pPr>
        <w:bidi w:val="0"/>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评价标准</w:t>
      </w:r>
    </w:p>
    <w:p>
      <w:pPr>
        <w:keepNext w:val="0"/>
        <w:keepLines w:val="0"/>
        <w:pageBreakBefore w:val="0"/>
        <w:widowControl w:val="0"/>
        <w:kinsoku/>
        <w:wordWrap/>
        <w:overflowPunct/>
        <w:topLinePunct w:val="0"/>
        <w:autoSpaceDE/>
        <w:autoSpaceDN/>
        <w:bidi w:val="0"/>
        <w:adjustRightInd/>
        <w:snapToGrid w:val="0"/>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根据绩效结论和按照年初指标设置情况，我院各分项和总体都达到了优级标准，见下表：</w:t>
      </w:r>
    </w:p>
    <w:p>
      <w:pPr>
        <w:bidi w:val="0"/>
        <w:ind w:firstLine="640" w:firstLineChars="200"/>
        <w:outlineLvl w:val="2"/>
        <w:rPr>
          <w:rFonts w:hint="default" w:ascii="仿宋_GB2312" w:hAnsi="仿宋_GB2312" w:eastAsia="仿宋_GB2312" w:cs="仿宋_GB2312"/>
          <w:sz w:val="32"/>
          <w:szCs w:val="32"/>
          <w:lang w:val="en-US" w:eastAsia="zh-CN"/>
        </w:rPr>
      </w:pPr>
    </w:p>
    <w:p>
      <w:pPr>
        <w:numPr>
          <w:ilvl w:val="0"/>
          <w:numId w:val="0"/>
        </w:numPr>
        <w:bidi w:val="0"/>
        <w:ind w:firstLine="640" w:firstLineChars="200"/>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评价方法</w:t>
      </w:r>
      <w:r>
        <w:rPr>
          <w:rFonts w:hint="eastAsia" w:ascii="仿宋_GB2312" w:hAnsi="仿宋_GB2312" w:eastAsia="仿宋_GB2312" w:cs="仿宋_GB2312"/>
          <w:sz w:val="32"/>
          <w:szCs w:val="32"/>
          <w:lang w:eastAsia="zh-CN"/>
        </w:rPr>
        <w:t>：目标评价法</w:t>
      </w:r>
    </w:p>
    <w:p>
      <w:pPr>
        <w:bidi w:val="0"/>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各项绩效目标的实现程度及差异性原因分析</w:t>
      </w:r>
    </w:p>
    <w:p>
      <w:pPr>
        <w:bidi w:val="0"/>
        <w:ind w:firstLine="640" w:firstLineChars="200"/>
        <w:outlineLvl w:val="1"/>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1、绩效目标实现程度</w:t>
      </w:r>
    </w:p>
    <w:p>
      <w:pPr>
        <w:bidi w:val="0"/>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0"/>
          <w:sz w:val="32"/>
          <w:szCs w:val="32"/>
          <w:lang w:val="en-US" w:eastAsia="zh-CN"/>
        </w:rPr>
        <w:t>2、差异情况分析</w:t>
      </w:r>
    </w:p>
    <w:p>
      <w:pPr>
        <w:numPr>
          <w:ilvl w:val="0"/>
          <w:numId w:val="0"/>
        </w:numPr>
        <w:bidi w:val="0"/>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存在问题、采取的纠偏措施及改进绩效管理建议</w:t>
      </w:r>
    </w:p>
    <w:p>
      <w:pPr>
        <w:bidi w:val="0"/>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存在问题</w:t>
      </w:r>
    </w:p>
    <w:p>
      <w:pPr>
        <w:bidi w:val="0"/>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采取的纠偏措施及改进绩效管理建议</w:t>
      </w:r>
    </w:p>
    <w:p>
      <w:pPr>
        <w:bidi w:val="0"/>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其他需要说明的问题。</w:t>
      </w:r>
    </w:p>
    <w:p>
      <w:pPr>
        <w:numPr>
          <w:ilvl w:val="0"/>
          <w:numId w:val="0"/>
        </w:numPr>
        <w:jc w:val="left"/>
        <w:rPr>
          <w:rFonts w:hint="default" w:ascii="仿宋" w:hAnsi="仿宋" w:eastAsia="仿宋" w:cs="仿宋"/>
          <w:sz w:val="32"/>
          <w:szCs w:val="32"/>
          <w:lang w:val="en-US" w:eastAsia="zh-CN"/>
        </w:rPr>
      </w:pPr>
    </w:p>
    <w:p>
      <w:pPr>
        <w:autoSpaceDE w:val="0"/>
        <w:autoSpaceDN w:val="0"/>
        <w:ind w:firstLine="640" w:firstLineChars="200"/>
        <w:rPr>
          <w:rFonts w:hint="eastAsia" w:ascii="仿宋_GB2312" w:hAnsi="仿宋_GB2312" w:eastAsia="仿宋_GB2312"/>
          <w:color w:val="000000"/>
          <w:sz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楷体" w:hAnsi="楷体" w:eastAsia="楷体" w:cs="楷体"/>
          <w:b/>
          <w:bCs/>
          <w:sz w:val="32"/>
          <w:szCs w:val="32"/>
          <w:lang w:val="en-US" w:eastAsia="zh-CN"/>
        </w:rPr>
      </w:pPr>
    </w:p>
    <w:p>
      <w:pPr>
        <w:numPr>
          <w:ilvl w:val="0"/>
          <w:numId w:val="0"/>
        </w:numPr>
        <w:spacing w:line="240" w:lineRule="auto"/>
        <w:ind w:firstLine="640" w:firstLineChars="200"/>
        <w:rPr>
          <w:rFonts w:hint="eastAsia" w:ascii="仿宋" w:hAnsi="仿宋" w:eastAsia="仿宋" w:cs="仿宋"/>
          <w:sz w:val="32"/>
          <w:szCs w:val="32"/>
          <w:lang w:val="en-US" w:eastAsia="zh-CN"/>
        </w:rPr>
      </w:pPr>
    </w:p>
    <w:p>
      <w:pPr>
        <w:spacing w:line="520" w:lineRule="exact"/>
        <w:ind w:firstLine="640" w:firstLineChars="200"/>
        <w:rPr>
          <w:rFonts w:hint="eastAsia" w:ascii="方正小标宋简体" w:eastAsia="方正小标宋简体"/>
          <w:sz w:val="32"/>
          <w:szCs w:val="32"/>
          <w:lang w:val="en-US" w:eastAsia="zh-CN"/>
        </w:rPr>
      </w:pPr>
      <w:r>
        <w:rPr>
          <w:rFonts w:hint="eastAsia" w:ascii="方正小标宋简体" w:eastAsia="方正小标宋简体"/>
          <w:sz w:val="32"/>
          <w:szCs w:val="32"/>
          <w:lang w:val="en-US" w:eastAsia="zh-CN"/>
        </w:rPr>
        <w:t>（五）预算资金安排及资金支出情况</w:t>
      </w:r>
    </w:p>
    <w:p>
      <w:pPr>
        <w:spacing w:line="520" w:lineRule="exact"/>
        <w:rPr>
          <w:rFonts w:hint="eastAsia" w:ascii="仿宋_GB2312" w:hAnsi="仿宋_GB2312" w:eastAsia="仿宋_GB2312" w:cs="仿宋_GB2312"/>
          <w:b/>
          <w:sz w:val="28"/>
          <w:szCs w:val="28"/>
        </w:rPr>
      </w:pPr>
      <w:r>
        <w:rPr>
          <w:rFonts w:hint="eastAsia" w:ascii="仿宋" w:hAnsi="仿宋" w:eastAsia="仿宋" w:cs="仿宋"/>
          <w:sz w:val="32"/>
          <w:szCs w:val="32"/>
          <w:lang w:val="en-US" w:eastAsia="zh-CN"/>
        </w:rPr>
        <w:t xml:space="preserve">    </w:t>
      </w:r>
      <w:r>
        <w:rPr>
          <w:rFonts w:hint="eastAsia" w:ascii="仿宋_GB2312" w:hAnsi="仿宋_GB2312" w:eastAsia="仿宋_GB2312" w:cs="仿宋_GB2312"/>
          <w:b/>
          <w:sz w:val="28"/>
          <w:szCs w:val="28"/>
          <w:lang w:val="en-US" w:eastAsia="zh-CN"/>
        </w:rPr>
        <w:t>1.</w:t>
      </w:r>
      <w:r>
        <w:rPr>
          <w:rFonts w:hint="eastAsia" w:ascii="仿宋_GB2312" w:hAnsi="仿宋_GB2312" w:eastAsia="仿宋_GB2312" w:cs="仿宋_GB2312"/>
          <w:b/>
          <w:sz w:val="28"/>
          <w:szCs w:val="28"/>
        </w:rPr>
        <w:t>收入支出预算安排情况</w:t>
      </w:r>
    </w:p>
    <w:p>
      <w:pPr>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年初一般公共预算财政拨款收入预算安排</w:t>
      </w:r>
      <w:r>
        <w:rPr>
          <w:rFonts w:hint="eastAsia" w:ascii="仿宋_GB2312" w:hAnsi="仿宋_GB2312" w:eastAsia="仿宋_GB2312" w:cs="仿宋_GB2312"/>
          <w:sz w:val="28"/>
          <w:szCs w:val="28"/>
          <w:lang w:val="en-US" w:eastAsia="zh-CN"/>
        </w:rPr>
        <w:t>11945100</w:t>
      </w:r>
      <w:r>
        <w:rPr>
          <w:rFonts w:hint="eastAsia" w:ascii="仿宋_GB2312" w:hAnsi="仿宋_GB2312" w:eastAsia="仿宋_GB2312" w:cs="仿宋_GB2312"/>
          <w:sz w:val="28"/>
          <w:szCs w:val="28"/>
        </w:rPr>
        <w:t>元，年末决算数据</w:t>
      </w:r>
      <w:r>
        <w:rPr>
          <w:rFonts w:hint="eastAsia" w:ascii="仿宋_GB2312" w:hAnsi="仿宋_GB2312" w:eastAsia="仿宋_GB2312" w:cs="仿宋_GB2312"/>
          <w:sz w:val="28"/>
          <w:szCs w:val="28"/>
          <w:lang w:val="en-US" w:eastAsia="zh-CN"/>
        </w:rPr>
        <w:t>13941076.41</w:t>
      </w:r>
      <w:r>
        <w:rPr>
          <w:rFonts w:hint="eastAsia" w:ascii="仿宋_GB2312" w:hAnsi="仿宋_GB2312" w:eastAsia="仿宋_GB2312" w:cs="仿宋_GB2312"/>
          <w:sz w:val="28"/>
          <w:szCs w:val="28"/>
        </w:rPr>
        <w:t>元，比年初预算安排增加1</w:t>
      </w:r>
      <w:r>
        <w:rPr>
          <w:rFonts w:hint="eastAsia" w:ascii="仿宋_GB2312" w:hAnsi="仿宋_GB2312" w:eastAsia="仿宋_GB2312" w:cs="仿宋_GB2312"/>
          <w:sz w:val="28"/>
          <w:szCs w:val="28"/>
          <w:lang w:val="en-US" w:eastAsia="zh-CN"/>
        </w:rPr>
        <w:t>6.71</w:t>
      </w:r>
      <w:r>
        <w:rPr>
          <w:rFonts w:hint="eastAsia" w:ascii="仿宋_GB2312" w:hAnsi="仿宋_GB2312" w:eastAsia="仿宋_GB2312" w:cs="仿宋_GB2312"/>
          <w:sz w:val="28"/>
          <w:szCs w:val="28"/>
        </w:rPr>
        <w:t>%，主要是工资提高，使得人员经费增加。年初一般公共预算财政拨款项目预算支出</w:t>
      </w:r>
      <w:r>
        <w:rPr>
          <w:rFonts w:hint="eastAsia" w:ascii="仿宋_GB2312" w:hAnsi="仿宋_GB2312" w:eastAsia="仿宋_GB2312" w:cs="仿宋_GB2312"/>
          <w:sz w:val="28"/>
          <w:szCs w:val="28"/>
          <w:lang w:val="en-US" w:eastAsia="zh-CN"/>
        </w:rPr>
        <w:t>1100000</w:t>
      </w:r>
      <w:r>
        <w:rPr>
          <w:rFonts w:hint="eastAsia" w:ascii="仿宋_GB2312" w:hAnsi="仿宋_GB2312" w:eastAsia="仿宋_GB2312" w:cs="仿宋_GB2312"/>
          <w:sz w:val="28"/>
          <w:szCs w:val="28"/>
        </w:rPr>
        <w:t>元，年末决算数据</w:t>
      </w:r>
      <w:r>
        <w:rPr>
          <w:rFonts w:hint="eastAsia" w:ascii="仿宋_GB2312" w:hAnsi="仿宋_GB2312" w:eastAsia="仿宋_GB2312" w:cs="仿宋_GB2312"/>
          <w:sz w:val="28"/>
          <w:szCs w:val="28"/>
          <w:lang w:val="en-US" w:eastAsia="zh-CN"/>
        </w:rPr>
        <w:t>1980898.18</w:t>
      </w:r>
      <w:r>
        <w:rPr>
          <w:rFonts w:hint="eastAsia" w:ascii="仿宋_GB2312" w:hAnsi="仿宋_GB2312" w:eastAsia="仿宋_GB2312" w:cs="仿宋_GB2312"/>
          <w:sz w:val="28"/>
          <w:szCs w:val="28"/>
        </w:rPr>
        <w:t>元，比年初预算安排增加</w:t>
      </w:r>
      <w:r>
        <w:rPr>
          <w:rFonts w:hint="eastAsia" w:ascii="仿宋_GB2312" w:hAnsi="仿宋_GB2312" w:eastAsia="仿宋_GB2312" w:cs="仿宋_GB2312"/>
          <w:sz w:val="28"/>
          <w:szCs w:val="28"/>
          <w:lang w:val="en-US" w:eastAsia="zh-CN"/>
        </w:rPr>
        <w:t>80.08</w:t>
      </w:r>
      <w:r>
        <w:rPr>
          <w:rFonts w:hint="eastAsia" w:ascii="仿宋_GB2312" w:hAnsi="仿宋_GB2312" w:eastAsia="仿宋_GB2312" w:cs="仿宋_GB2312"/>
          <w:sz w:val="28"/>
          <w:szCs w:val="28"/>
        </w:rPr>
        <w:t>%，主要增加部分为201</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中央、省级项目经费的支出</w:t>
      </w:r>
      <w:r>
        <w:rPr>
          <w:rFonts w:hint="eastAsia" w:ascii="仿宋_GB2312" w:hAnsi="仿宋_GB2312" w:eastAsia="仿宋_GB2312" w:cs="仿宋_GB2312"/>
          <w:sz w:val="28"/>
          <w:szCs w:val="28"/>
          <w:lang w:eastAsia="zh-CN"/>
        </w:rPr>
        <w:t>及预算调整追加项目经费。</w:t>
      </w:r>
    </w:p>
    <w:p>
      <w:pPr>
        <w:ind w:firstLine="640"/>
        <w:rPr>
          <w:rFonts w:hint="eastAsia" w:ascii="仿宋_GB2312" w:hAnsi="仿宋_GB2312" w:eastAsia="仿宋_GB2312" w:cs="仿宋_GB2312"/>
          <w:sz w:val="28"/>
          <w:szCs w:val="28"/>
        </w:rPr>
      </w:pPr>
      <w:r>
        <w:rPr>
          <w:rFonts w:hint="eastAsia" w:ascii="仿宋_GB2312" w:eastAsia="仿宋_GB2312"/>
          <w:b/>
          <w:color w:val="FF0000"/>
          <w:sz w:val="28"/>
          <w:szCs w:val="28"/>
        </w:rPr>
        <w:t xml:space="preserve">  </w:t>
      </w:r>
      <w:r>
        <w:rPr>
          <w:rFonts w:hint="eastAsia" w:ascii="仿宋_GB2312" w:eastAsia="仿宋_GB2312"/>
          <w:b/>
          <w:sz w:val="28"/>
          <w:szCs w:val="28"/>
        </w:rPr>
        <w:t xml:space="preserve"> </w:t>
      </w:r>
      <w:r>
        <w:rPr>
          <w:rFonts w:hint="eastAsia" w:ascii="仿宋_GB2312" w:eastAsia="仿宋_GB2312"/>
          <w:b/>
          <w:sz w:val="28"/>
          <w:szCs w:val="28"/>
          <w:lang w:val="en-US" w:eastAsia="zh-CN"/>
        </w:rPr>
        <w:t>2.</w:t>
      </w:r>
    </w:p>
    <w:p>
      <w:pPr>
        <w:numPr>
          <w:ilvl w:val="0"/>
          <w:numId w:val="0"/>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基本概况。包括部门主要职责职能，组织架构、人员及资产情况、部门履职总体目标、年度整体绩效目标、工作任务，</w:t>
      </w:r>
    </w:p>
    <w:p>
      <w:pPr>
        <w:numPr>
          <w:ilvl w:val="0"/>
          <w:numId w:val="0"/>
        </w:numPr>
        <w:spacing w:line="240" w:lineRule="auto"/>
        <w:ind w:firstLine="643" w:firstLineChars="200"/>
        <w:rPr>
          <w:rFonts w:hint="eastAsia" w:asciiTheme="minorEastAsia" w:hAnsiTheme="minorEastAsia" w:eastAsiaTheme="minorEastAsia" w:cstheme="minorEastAsia"/>
          <w:b/>
          <w:bCs/>
          <w:sz w:val="32"/>
          <w:szCs w:val="32"/>
          <w:lang w:val="en-US" w:eastAsia="zh-CN"/>
        </w:rPr>
      </w:pPr>
      <w:r>
        <w:rPr>
          <w:rFonts w:hint="eastAsia" w:asciiTheme="minorEastAsia" w:hAnsiTheme="minorEastAsia" w:eastAsiaTheme="minorEastAsia" w:cstheme="minorEastAsia"/>
          <w:b/>
          <w:bCs/>
          <w:sz w:val="32"/>
          <w:szCs w:val="32"/>
          <w:lang w:val="en-US" w:eastAsia="zh-CN"/>
        </w:rPr>
        <w:t>（五）预算绩效管理开展情况</w:t>
      </w:r>
    </w:p>
    <w:p>
      <w:pPr>
        <w:keepNext w:val="0"/>
        <w:keepLines w:val="0"/>
        <w:pageBreakBefore w:val="0"/>
        <w:kinsoku/>
        <w:wordWrap/>
        <w:overflowPunct/>
        <w:topLinePunct w:val="0"/>
        <w:autoSpaceDE/>
        <w:autoSpaceDN/>
        <w:bidi w:val="0"/>
        <w:adjustRightInd/>
        <w:snapToGrid w:val="0"/>
        <w:spacing w:before="0" w:after="0" w:line="560" w:lineRule="exact"/>
        <w:ind w:right="0" w:rightChars="0" w:firstLine="640" w:firstLineChars="200"/>
        <w:textAlignment w:val="auto"/>
        <w:rPr>
          <w:rFonts w:hint="eastAsia" w:ascii="仿宋_GB2312" w:hAnsi="仿宋_GB2312" w:eastAsia="仿宋_GB2312"/>
          <w:color w:val="0000FF"/>
          <w:sz w:val="32"/>
          <w:szCs w:val="32"/>
          <w:lang w:eastAsia="zh-CN"/>
        </w:rPr>
      </w:pPr>
      <w:r>
        <w:rPr>
          <w:rFonts w:hint="eastAsia" w:ascii="仿宋_GB2312" w:hAnsi="仿宋_GB2312" w:eastAsia="仿宋_GB2312"/>
          <w:color w:val="0000FF"/>
          <w:sz w:val="32"/>
          <w:szCs w:val="32"/>
        </w:rPr>
        <w:t>按照《</w:t>
      </w:r>
      <w:r>
        <w:rPr>
          <w:rFonts w:hint="eastAsia" w:ascii="仿宋_GB2312" w:hAnsi="仿宋_GB2312" w:eastAsia="仿宋_GB2312"/>
          <w:color w:val="0000FF"/>
          <w:sz w:val="32"/>
          <w:szCs w:val="32"/>
          <w:lang w:eastAsia="zh-CN"/>
        </w:rPr>
        <w:t>河北省财政厅关于做好</w:t>
      </w:r>
      <w:r>
        <w:rPr>
          <w:rFonts w:hint="eastAsia" w:ascii="仿宋_GB2312" w:hAnsi="仿宋_GB2312" w:eastAsia="仿宋_GB2312"/>
          <w:color w:val="0000FF"/>
          <w:sz w:val="32"/>
          <w:szCs w:val="32"/>
          <w:lang w:val="en-US" w:eastAsia="zh-CN"/>
        </w:rPr>
        <w:t>2018年省直部门绩效自评工作的通知</w:t>
      </w:r>
      <w:r>
        <w:rPr>
          <w:rFonts w:hint="eastAsia" w:ascii="仿宋_GB2312" w:hAnsi="仿宋_GB2312" w:eastAsia="仿宋_GB2312"/>
          <w:color w:val="0000FF"/>
          <w:sz w:val="32"/>
          <w:szCs w:val="32"/>
        </w:rPr>
        <w:t>》（冀</w:t>
      </w:r>
      <w:r>
        <w:rPr>
          <w:rFonts w:hint="eastAsia" w:ascii="仿宋_GB2312" w:hAnsi="仿宋_GB2312" w:eastAsia="仿宋_GB2312"/>
          <w:color w:val="0000FF"/>
          <w:sz w:val="32"/>
          <w:szCs w:val="32"/>
          <w:lang w:eastAsia="zh-CN"/>
        </w:rPr>
        <w:t>财监</w:t>
      </w:r>
      <w:r>
        <w:rPr>
          <w:rFonts w:hint="eastAsia" w:ascii="仿宋_GB2312" w:hAnsi="仿宋_GB2312" w:eastAsia="仿宋_GB2312"/>
          <w:color w:val="0000FF"/>
          <w:sz w:val="32"/>
          <w:szCs w:val="32"/>
        </w:rPr>
        <w:t>〔201</w:t>
      </w:r>
      <w:r>
        <w:rPr>
          <w:rFonts w:hint="eastAsia" w:ascii="仿宋_GB2312" w:hAnsi="仿宋_GB2312" w:eastAsia="仿宋_GB2312"/>
          <w:color w:val="0000FF"/>
          <w:sz w:val="32"/>
          <w:szCs w:val="32"/>
          <w:lang w:val="en-US" w:eastAsia="zh-CN"/>
        </w:rPr>
        <w:t>8</w:t>
      </w:r>
      <w:r>
        <w:rPr>
          <w:rFonts w:hint="eastAsia" w:ascii="仿宋_GB2312" w:hAnsi="仿宋_GB2312" w:eastAsia="仿宋_GB2312"/>
          <w:color w:val="0000FF"/>
          <w:sz w:val="32"/>
          <w:szCs w:val="32"/>
        </w:rPr>
        <w:t>〕</w:t>
      </w:r>
      <w:r>
        <w:rPr>
          <w:rFonts w:hint="eastAsia" w:ascii="仿宋_GB2312" w:hAnsi="仿宋_GB2312" w:eastAsia="仿宋_GB2312"/>
          <w:color w:val="0000FF"/>
          <w:sz w:val="32"/>
          <w:szCs w:val="32"/>
          <w:lang w:val="en-US" w:eastAsia="zh-CN"/>
        </w:rPr>
        <w:t>45</w:t>
      </w:r>
      <w:r>
        <w:rPr>
          <w:rFonts w:hint="eastAsia" w:ascii="仿宋_GB2312" w:hAnsi="仿宋_GB2312" w:eastAsia="仿宋_GB2312"/>
          <w:color w:val="0000FF"/>
          <w:sz w:val="32"/>
          <w:szCs w:val="32"/>
        </w:rPr>
        <w:t>号）</w:t>
      </w:r>
      <w:r>
        <w:rPr>
          <w:rFonts w:hint="eastAsia" w:ascii="仿宋_GB2312" w:hAnsi="仿宋_GB2312" w:eastAsia="仿宋_GB2312"/>
          <w:color w:val="0000FF"/>
          <w:sz w:val="32"/>
          <w:szCs w:val="32"/>
          <w:lang w:eastAsia="zh-CN"/>
        </w:rPr>
        <w:t>工作部署</w:t>
      </w:r>
      <w:r>
        <w:rPr>
          <w:rFonts w:hint="eastAsia" w:ascii="仿宋_GB2312" w:hAnsi="仿宋_GB2312" w:eastAsia="仿宋_GB2312"/>
          <w:color w:val="0000FF"/>
          <w:sz w:val="32"/>
          <w:szCs w:val="32"/>
        </w:rPr>
        <w:t>，</w:t>
      </w:r>
      <w:r>
        <w:rPr>
          <w:rFonts w:hint="eastAsia" w:ascii="仿宋_GB2312" w:hAnsi="仿宋_GB2312" w:eastAsia="仿宋_GB2312"/>
          <w:color w:val="0000FF"/>
          <w:sz w:val="32"/>
          <w:szCs w:val="32"/>
          <w:lang w:eastAsia="zh-CN"/>
        </w:rPr>
        <w:t>我由财务处认真学习了相关文件，正式发文要求</w:t>
      </w:r>
      <w:r>
        <w:rPr>
          <w:rFonts w:hint="eastAsia" w:ascii="仿宋_GB2312" w:hAnsi="仿宋_GB2312" w:eastAsia="仿宋_GB2312"/>
          <w:color w:val="0000FF"/>
          <w:sz w:val="32"/>
          <w:szCs w:val="32"/>
        </w:rPr>
        <w:t>院属</w:t>
      </w:r>
      <w:r>
        <w:rPr>
          <w:rFonts w:hint="eastAsia" w:ascii="仿宋_GB2312" w:hAnsi="仿宋_GB2312" w:eastAsia="仿宋_GB2312"/>
          <w:color w:val="0000FF"/>
          <w:sz w:val="32"/>
          <w:szCs w:val="32"/>
          <w:lang w:eastAsia="zh-CN"/>
        </w:rPr>
        <w:t>各单位、院</w:t>
      </w:r>
      <w:r>
        <w:rPr>
          <w:rFonts w:hint="eastAsia" w:ascii="仿宋_GB2312" w:hAnsi="仿宋_GB2312" w:eastAsia="仿宋_GB2312"/>
          <w:color w:val="0000FF"/>
          <w:sz w:val="32"/>
          <w:szCs w:val="32"/>
        </w:rPr>
        <w:t>机关</w:t>
      </w:r>
      <w:r>
        <w:rPr>
          <w:rFonts w:hint="eastAsia" w:ascii="仿宋_GB2312" w:hAnsi="仿宋_GB2312" w:eastAsia="仿宋_GB2312"/>
          <w:color w:val="0000FF"/>
          <w:sz w:val="32"/>
          <w:szCs w:val="32"/>
          <w:lang w:eastAsia="zh-CN"/>
        </w:rPr>
        <w:t>相关处室须在</w:t>
      </w:r>
      <w:r>
        <w:rPr>
          <w:rFonts w:hint="eastAsia" w:ascii="仿宋_GB2312" w:hAnsi="仿宋_GB2312" w:eastAsia="仿宋_GB2312"/>
          <w:color w:val="0000FF"/>
          <w:sz w:val="32"/>
          <w:szCs w:val="32"/>
          <w:lang w:val="en-US" w:eastAsia="zh-CN"/>
        </w:rPr>
        <w:t>5月30日之前，</w:t>
      </w:r>
      <w:r>
        <w:rPr>
          <w:rFonts w:hint="eastAsia" w:ascii="仿宋_GB2312" w:hAnsi="仿宋_GB2312" w:eastAsia="仿宋_GB2312"/>
          <w:color w:val="0000FF"/>
          <w:sz w:val="32"/>
          <w:szCs w:val="32"/>
          <w:lang w:eastAsia="zh-CN"/>
        </w:rPr>
        <w:t>对各自承担的</w:t>
      </w:r>
      <w:r>
        <w:rPr>
          <w:rFonts w:hint="eastAsia" w:ascii="仿宋_GB2312" w:hAnsi="仿宋_GB2312" w:eastAsia="仿宋_GB2312"/>
          <w:color w:val="0000FF"/>
          <w:sz w:val="32"/>
          <w:szCs w:val="32"/>
          <w:lang w:val="en-US" w:eastAsia="zh-CN"/>
        </w:rPr>
        <w:t>2017</w:t>
      </w:r>
      <w:r>
        <w:rPr>
          <w:rFonts w:hint="eastAsia" w:ascii="仿宋_GB2312" w:hAnsi="仿宋_GB2312" w:eastAsia="仿宋_GB2312"/>
          <w:color w:val="0000FF"/>
          <w:sz w:val="32"/>
          <w:szCs w:val="32"/>
        </w:rPr>
        <w:t>年度</w:t>
      </w:r>
      <w:r>
        <w:rPr>
          <w:rFonts w:hint="eastAsia" w:ascii="仿宋_GB2312" w:hAnsi="仿宋_GB2312" w:eastAsia="仿宋_GB2312"/>
          <w:color w:val="0000FF"/>
          <w:sz w:val="32"/>
          <w:szCs w:val="32"/>
          <w:lang w:eastAsia="zh-CN"/>
        </w:rPr>
        <w:t>财政资金应用情况做</w:t>
      </w:r>
      <w:r>
        <w:rPr>
          <w:rFonts w:hint="eastAsia" w:ascii="仿宋_GB2312" w:hAnsi="仿宋_GB2312" w:eastAsia="仿宋_GB2312"/>
          <w:color w:val="0000FF"/>
          <w:sz w:val="32"/>
          <w:szCs w:val="32"/>
        </w:rPr>
        <w:t>全面自评</w:t>
      </w:r>
      <w:r>
        <w:rPr>
          <w:rFonts w:hint="eastAsia" w:ascii="仿宋_GB2312" w:hAnsi="仿宋_GB2312" w:eastAsia="仿宋_GB2312"/>
          <w:color w:val="0000FF"/>
          <w:sz w:val="32"/>
          <w:szCs w:val="32"/>
          <w:lang w:eastAsia="zh-CN"/>
        </w:rPr>
        <w:t>。</w:t>
      </w:r>
    </w:p>
    <w:p>
      <w:pPr>
        <w:keepNext w:val="0"/>
        <w:keepLines w:val="0"/>
        <w:pageBreakBefore w:val="0"/>
        <w:numPr>
          <w:ilvl w:val="0"/>
          <w:numId w:val="4"/>
        </w:numPr>
        <w:kinsoku/>
        <w:wordWrap/>
        <w:overflowPunct/>
        <w:topLinePunct w:val="0"/>
        <w:autoSpaceDE/>
        <w:autoSpaceDN/>
        <w:bidi w:val="0"/>
        <w:adjustRightInd/>
        <w:snapToGrid w:val="0"/>
        <w:spacing w:before="0" w:after="0" w:line="560" w:lineRule="exact"/>
        <w:ind w:right="0" w:rightChars="0" w:firstLine="640" w:firstLineChars="200"/>
        <w:textAlignment w:val="auto"/>
        <w:rPr>
          <w:rFonts w:hint="eastAsia" w:ascii="仿宋_GB2312" w:hAnsi="仿宋_GB2312" w:eastAsia="仿宋_GB2312"/>
          <w:color w:val="0000FF"/>
          <w:sz w:val="32"/>
          <w:szCs w:val="32"/>
          <w:lang w:val="en-US" w:eastAsia="zh-CN"/>
        </w:rPr>
      </w:pPr>
      <w:r>
        <w:rPr>
          <w:rFonts w:hint="eastAsia" w:ascii="仿宋_GB2312" w:hAnsi="仿宋_GB2312" w:eastAsia="仿宋_GB2312"/>
          <w:color w:val="0000FF"/>
          <w:sz w:val="32"/>
          <w:szCs w:val="32"/>
          <w:lang w:val="en-US" w:eastAsia="zh-CN"/>
        </w:rPr>
        <w:t>准备工作</w:t>
      </w:r>
    </w:p>
    <w:p>
      <w:pPr>
        <w:keepNext w:val="0"/>
        <w:keepLines w:val="0"/>
        <w:pageBreakBefore w:val="0"/>
        <w:numPr>
          <w:ilvl w:val="0"/>
          <w:numId w:val="0"/>
        </w:numPr>
        <w:kinsoku/>
        <w:wordWrap/>
        <w:overflowPunct/>
        <w:topLinePunct w:val="0"/>
        <w:autoSpaceDE/>
        <w:autoSpaceDN/>
        <w:bidi w:val="0"/>
        <w:adjustRightInd/>
        <w:snapToGrid w:val="0"/>
        <w:spacing w:before="0" w:after="0" w:line="560" w:lineRule="exact"/>
        <w:ind w:right="0" w:rightChars="0"/>
        <w:textAlignment w:val="auto"/>
        <w:rPr>
          <w:rFonts w:hint="eastAsia" w:ascii="仿宋_GB2312" w:hAnsi="仿宋_GB2312" w:eastAsia="仿宋_GB2312"/>
          <w:color w:val="0000FF"/>
          <w:sz w:val="32"/>
          <w:szCs w:val="32"/>
        </w:rPr>
      </w:pPr>
      <w:r>
        <w:rPr>
          <w:rFonts w:hint="eastAsia" w:ascii="仿宋_GB2312" w:eastAsia="仿宋_GB2312" w:cs="仿宋_GB2312"/>
          <w:color w:val="0000FF"/>
          <w:sz w:val="32"/>
          <w:szCs w:val="32"/>
          <w:lang w:val="en-US" w:eastAsia="zh-CN"/>
        </w:rPr>
        <w:t xml:space="preserve">    </w:t>
      </w:r>
      <w:r>
        <w:rPr>
          <w:rFonts w:hint="eastAsia" w:ascii="仿宋_GB2312" w:eastAsia="仿宋_GB2312" w:cs="仿宋_GB2312"/>
          <w:color w:val="0000FF"/>
          <w:sz w:val="32"/>
          <w:szCs w:val="32"/>
          <w:lang w:eastAsia="zh-CN"/>
        </w:rPr>
        <w:t>院属研究所和相关处室</w:t>
      </w:r>
      <w:r>
        <w:rPr>
          <w:rFonts w:hint="eastAsia" w:ascii="仿宋_GB2312" w:eastAsia="仿宋_GB2312" w:cs="仿宋_GB2312"/>
          <w:color w:val="0000FF"/>
          <w:sz w:val="32"/>
          <w:szCs w:val="32"/>
        </w:rPr>
        <w:t>是</w:t>
      </w:r>
      <w:r>
        <w:rPr>
          <w:rFonts w:hint="eastAsia" w:ascii="仿宋_GB2312" w:eastAsia="仿宋_GB2312" w:cs="仿宋_GB2312"/>
          <w:color w:val="0000FF"/>
          <w:sz w:val="32"/>
          <w:szCs w:val="32"/>
          <w:lang w:eastAsia="zh-CN"/>
        </w:rPr>
        <w:t>本次</w:t>
      </w:r>
      <w:r>
        <w:rPr>
          <w:rFonts w:hint="eastAsia" w:ascii="仿宋_GB2312" w:eastAsia="仿宋_GB2312" w:cs="仿宋_GB2312"/>
          <w:color w:val="0000FF"/>
          <w:sz w:val="32"/>
          <w:szCs w:val="32"/>
        </w:rPr>
        <w:t>绩效自评工作的</w:t>
      </w:r>
      <w:r>
        <w:rPr>
          <w:rFonts w:hint="eastAsia" w:ascii="仿宋_GB2312" w:eastAsia="仿宋_GB2312" w:cs="仿宋_GB2312"/>
          <w:color w:val="0000FF"/>
          <w:sz w:val="32"/>
          <w:szCs w:val="32"/>
          <w:lang w:eastAsia="zh-CN"/>
        </w:rPr>
        <w:t>实施</w:t>
      </w:r>
      <w:r>
        <w:rPr>
          <w:rFonts w:hint="eastAsia" w:ascii="仿宋_GB2312" w:eastAsia="仿宋_GB2312" w:cs="仿宋_GB2312"/>
          <w:color w:val="0000FF"/>
          <w:sz w:val="32"/>
          <w:szCs w:val="32"/>
        </w:rPr>
        <w:t>主体。</w:t>
      </w:r>
      <w:r>
        <w:rPr>
          <w:rFonts w:hint="eastAsia" w:ascii="仿宋_GB2312" w:eastAsia="仿宋_GB2312" w:cs="仿宋_GB2312"/>
          <w:color w:val="0000FF"/>
          <w:sz w:val="32"/>
          <w:szCs w:val="32"/>
          <w:lang w:eastAsia="zh-CN"/>
        </w:rPr>
        <w:t>各单位</w:t>
      </w:r>
      <w:r>
        <w:rPr>
          <w:rFonts w:hint="eastAsia" w:ascii="仿宋_GB2312" w:hAnsi="仿宋_GB2312" w:eastAsia="仿宋_GB2312"/>
          <w:color w:val="0000FF"/>
          <w:sz w:val="32"/>
          <w:szCs w:val="32"/>
        </w:rPr>
        <w:t>按通知要求，首先确定绩效评价工作人员，制定绩效评价工作方案，收集绩效评价相关资料，对资料进行审查核实。具体本项目，首先按照通知要求，组建由业务所长为评价组负责人的绩效评价工作小组，课题主持人负责绩效评价的具体实施，工作人员包括本项目主要参加人员、科研管理人员和财务部门的相关人员。制定统一的工作方案，分头实施。其中，课题组人员负责对照项目合同书，搜集整理相关材料。科研管理部门负责项目管理绩效的评价，财务部门负责人负责财务预算和财务支出项目的审查等。</w:t>
      </w:r>
    </w:p>
    <w:p>
      <w:pPr>
        <w:keepNext w:val="0"/>
        <w:keepLines w:val="0"/>
        <w:pageBreakBefore w:val="0"/>
        <w:kinsoku/>
        <w:wordWrap/>
        <w:overflowPunct/>
        <w:topLinePunct w:val="0"/>
        <w:autoSpaceDE/>
        <w:autoSpaceDN/>
        <w:bidi w:val="0"/>
        <w:adjustRightInd/>
        <w:snapToGrid w:val="0"/>
        <w:spacing w:before="0" w:after="0" w:line="560" w:lineRule="exact"/>
        <w:ind w:right="0" w:rightChars="0" w:firstLine="640" w:firstLineChars="200"/>
        <w:textAlignment w:val="auto"/>
        <w:rPr>
          <w:rFonts w:hint="eastAsia" w:ascii="仿宋_GB2312" w:hAnsi="仿宋_GB2312" w:eastAsia="仿宋_GB2312"/>
          <w:color w:val="0000FF"/>
          <w:sz w:val="32"/>
          <w:szCs w:val="32"/>
        </w:rPr>
      </w:pPr>
      <w:r>
        <w:rPr>
          <w:rFonts w:hint="eastAsia" w:ascii="仿宋_GB2312" w:hAnsi="仿宋_GB2312" w:eastAsia="仿宋_GB2312"/>
          <w:color w:val="0000FF"/>
          <w:sz w:val="32"/>
          <w:szCs w:val="32"/>
        </w:rPr>
        <w:t>2、组织实施</w:t>
      </w:r>
    </w:p>
    <w:p>
      <w:pPr>
        <w:keepNext w:val="0"/>
        <w:keepLines w:val="0"/>
        <w:pageBreakBefore w:val="0"/>
        <w:widowControl/>
        <w:kinsoku/>
        <w:wordWrap/>
        <w:overflowPunct/>
        <w:topLinePunct w:val="0"/>
        <w:autoSpaceDE/>
        <w:autoSpaceDN/>
        <w:bidi w:val="0"/>
        <w:adjustRightInd/>
        <w:snapToGrid w:val="0"/>
        <w:spacing w:before="0" w:after="0" w:line="560" w:lineRule="exact"/>
        <w:ind w:right="0" w:rightChars="0" w:firstLine="640" w:firstLineChars="200"/>
        <w:jc w:val="left"/>
        <w:textAlignment w:val="auto"/>
        <w:rPr>
          <w:rFonts w:hint="eastAsia" w:ascii="仿宋_GB2312" w:hAnsi="仿宋_GB2312" w:eastAsia="仿宋_GB2312" w:cs="宋体"/>
          <w:color w:val="0000FF"/>
          <w:sz w:val="32"/>
        </w:rPr>
      </w:pPr>
      <w:r>
        <w:rPr>
          <w:rFonts w:hint="eastAsia" w:ascii="仿宋_GB2312" w:hAnsi="仿宋_GB2312" w:eastAsia="仿宋_GB2312"/>
          <w:color w:val="0000FF"/>
          <w:sz w:val="32"/>
          <w:szCs w:val="32"/>
        </w:rPr>
        <w:t>工作小组按统一方案撰写项目绩效评价报告；向有关专家提交绩效评价报告；专家根据附表“评价表”中内容逐项评分；专家综合分析意见，并形成评价结论、撰写评价报告；评价组负责人给出综合评价等级、编写评价综合意见；建立绩效评价档案。</w:t>
      </w:r>
    </w:p>
    <w:p>
      <w:pPr>
        <w:keepNext w:val="0"/>
        <w:keepLines w:val="0"/>
        <w:pageBreakBefore w:val="0"/>
        <w:kinsoku/>
        <w:wordWrap/>
        <w:overflowPunct/>
        <w:topLinePunct w:val="0"/>
        <w:autoSpaceDE/>
        <w:autoSpaceDN/>
        <w:bidi w:val="0"/>
        <w:adjustRightInd/>
        <w:snapToGrid w:val="0"/>
        <w:spacing w:before="0" w:after="0" w:line="560" w:lineRule="exact"/>
        <w:ind w:right="0" w:rightChars="0" w:firstLine="640" w:firstLineChars="200"/>
        <w:textAlignment w:val="auto"/>
        <w:rPr>
          <w:rFonts w:hint="eastAsia" w:ascii="仿宋_GB2312" w:hAnsi="仿宋_GB2312" w:eastAsia="仿宋_GB2312"/>
          <w:color w:val="0000FF"/>
          <w:sz w:val="32"/>
          <w:szCs w:val="32"/>
        </w:rPr>
      </w:pPr>
      <w:r>
        <w:rPr>
          <w:rFonts w:hint="eastAsia" w:ascii="仿宋_GB2312" w:hAnsi="仿宋_GB2312" w:eastAsia="仿宋_GB2312"/>
          <w:color w:val="0000FF"/>
          <w:sz w:val="32"/>
          <w:szCs w:val="32"/>
        </w:rPr>
        <w:t>3、分析评价</w:t>
      </w:r>
    </w:p>
    <w:p>
      <w:pPr>
        <w:keepNext w:val="0"/>
        <w:keepLines w:val="0"/>
        <w:pageBreakBefore w:val="0"/>
        <w:widowControl/>
        <w:kinsoku/>
        <w:wordWrap/>
        <w:overflowPunct/>
        <w:topLinePunct w:val="0"/>
        <w:autoSpaceDE/>
        <w:autoSpaceDN/>
        <w:bidi w:val="0"/>
        <w:adjustRightInd/>
        <w:snapToGrid w:val="0"/>
        <w:spacing w:before="0" w:after="0" w:line="560" w:lineRule="exact"/>
        <w:ind w:right="0" w:rightChars="0" w:firstLine="720" w:firstLineChars="225"/>
        <w:jc w:val="left"/>
        <w:textAlignment w:val="auto"/>
        <w:rPr>
          <w:rFonts w:hint="eastAsia" w:ascii="楷体_GB2312" w:hAnsi="宋体" w:eastAsia="楷体_GB2312"/>
          <w:b/>
          <w:color w:val="0000FF"/>
          <w:sz w:val="32"/>
          <w:szCs w:val="32"/>
        </w:rPr>
      </w:pPr>
      <w:r>
        <w:rPr>
          <w:rFonts w:hint="eastAsia" w:ascii="仿宋_GB2312" w:hAnsi="仿宋_GB2312" w:eastAsia="仿宋_GB2312"/>
          <w:color w:val="0000FF"/>
          <w:sz w:val="32"/>
          <w:szCs w:val="32"/>
        </w:rPr>
        <w:t>由评价组负责人负责分析汇总各评分专家的打分，经计算后得其加权平均数，根据分值填写管理评价等级；评价组根据表中各项评价结果，综合各方面因素填写项目绩效评价综合意见。</w:t>
      </w:r>
    </w:p>
    <w:p>
      <w:pPr>
        <w:numPr>
          <w:ilvl w:val="0"/>
          <w:numId w:val="0"/>
        </w:numPr>
        <w:spacing w:line="240" w:lineRule="auto"/>
        <w:ind w:firstLine="643" w:firstLineChars="200"/>
        <w:rPr>
          <w:rFonts w:hint="eastAsia" w:asciiTheme="minorEastAsia" w:hAnsiTheme="minorEastAsia" w:eastAsiaTheme="minorEastAsia" w:cstheme="minorEastAsia"/>
          <w:b/>
          <w:bCs/>
          <w:sz w:val="32"/>
          <w:szCs w:val="32"/>
          <w:lang w:val="en-US" w:eastAsia="zh-CN"/>
        </w:rPr>
      </w:pPr>
      <w:r>
        <w:rPr>
          <w:rFonts w:hint="eastAsia" w:asciiTheme="minorEastAsia" w:hAnsiTheme="minorEastAsia" w:eastAsiaTheme="minorEastAsia" w:cstheme="minorEastAsia"/>
          <w:b/>
          <w:bCs/>
          <w:sz w:val="32"/>
          <w:szCs w:val="32"/>
          <w:lang w:val="en-US" w:eastAsia="zh-CN"/>
        </w:rPr>
        <w:t>（六）整体绩效实现情况</w:t>
      </w:r>
    </w:p>
    <w:p>
      <w:pPr>
        <w:numPr>
          <w:ilvl w:val="0"/>
          <w:numId w:val="0"/>
        </w:numPr>
        <w:spacing w:line="240" w:lineRule="auto"/>
        <w:rPr>
          <w:rFonts w:hint="eastAsia" w:ascii="仿宋" w:hAnsi="仿宋" w:eastAsia="仿宋" w:cs="仿宋"/>
          <w:sz w:val="32"/>
          <w:szCs w:val="32"/>
          <w:lang w:val="en-US" w:eastAsia="zh-CN"/>
        </w:rPr>
      </w:pPr>
    </w:p>
    <w:p>
      <w:pPr>
        <w:numPr>
          <w:ilvl w:val="0"/>
          <w:numId w:val="0"/>
        </w:numPr>
        <w:spacing w:line="240" w:lineRule="auto"/>
        <w:rPr>
          <w:rFonts w:hint="eastAsia" w:ascii="仿宋" w:hAnsi="仿宋" w:eastAsia="仿宋" w:cs="仿宋"/>
          <w:sz w:val="32"/>
          <w:szCs w:val="32"/>
          <w:lang w:val="en-US" w:eastAsia="zh-CN"/>
        </w:rPr>
      </w:pPr>
    </w:p>
    <w:p>
      <w:pPr>
        <w:numPr>
          <w:ilvl w:val="0"/>
          <w:numId w:val="0"/>
        </w:numPr>
        <w:spacing w:line="240" w:lineRule="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及整体绩效实现情况。包括部门开展预算绩效管理情况、工作履行活动完成情况、实施履职活动产生的效果及社会公众或服务对象满意程度。</w:t>
      </w:r>
    </w:p>
    <w:p>
      <w:pPr>
        <w:numPr>
          <w:ilvl w:val="0"/>
          <w:numId w:val="6"/>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绩效评价的组织实施情况。包括评价对象绩效目标、绩效指标、评价标准和评价方法。</w:t>
      </w:r>
    </w:p>
    <w:p>
      <w:pPr>
        <w:numPr>
          <w:ilvl w:val="0"/>
          <w:numId w:val="6"/>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各项绩效目标的实现程度及差异性原因分析。</w:t>
      </w:r>
    </w:p>
    <w:p>
      <w:pPr>
        <w:numPr>
          <w:ilvl w:val="0"/>
          <w:numId w:val="6"/>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存在问题、采取的纠偏措施及改进绩效管理建议。</w:t>
      </w:r>
    </w:p>
    <w:p>
      <w:pPr>
        <w:numPr>
          <w:ilvl w:val="0"/>
          <w:numId w:val="6"/>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其他需要说明的问题。</w:t>
      </w:r>
    </w:p>
    <w:p/>
    <w:sectPr>
      <w:footerReference r:id="rId3" w:type="default"/>
      <w:footerReference r:id="rId4" w:type="even"/>
      <w:pgSz w:w="11906" w:h="16838"/>
      <w:pgMar w:top="1985" w:right="1418" w:bottom="1985" w:left="1418" w:header="851" w:footer="1701" w:gutter="0"/>
      <w:cols w:space="425" w:num="1"/>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4"/>
        <w:rFonts w:ascii="宋体" w:hAnsi="宋体" w:eastAsia="宋体"/>
        <w:sz w:val="28"/>
        <w:szCs w:val="28"/>
      </w:rPr>
    </w:pPr>
    <w:r>
      <w:rPr>
        <w:rStyle w:val="4"/>
        <w:rFonts w:hint="eastAsia" w:ascii="宋体" w:hAnsi="宋体" w:eastAsia="宋体"/>
        <w:sz w:val="28"/>
        <w:szCs w:val="28"/>
      </w:rPr>
      <w:t>-</w:t>
    </w:r>
    <w:r>
      <w:rPr>
        <w:rStyle w:val="4"/>
        <w:rFonts w:ascii="宋体" w:hAnsi="宋体" w:eastAsia="宋体"/>
        <w:sz w:val="28"/>
        <w:szCs w:val="28"/>
      </w:rPr>
      <w:fldChar w:fldCharType="begin"/>
    </w:r>
    <w:r>
      <w:rPr>
        <w:rStyle w:val="4"/>
        <w:rFonts w:ascii="宋体" w:hAnsi="宋体" w:eastAsia="宋体"/>
        <w:sz w:val="28"/>
        <w:szCs w:val="28"/>
      </w:rPr>
      <w:instrText xml:space="preserve">PAGE  </w:instrText>
    </w:r>
    <w:r>
      <w:rPr>
        <w:rStyle w:val="4"/>
        <w:rFonts w:ascii="宋体" w:hAnsi="宋体" w:eastAsia="宋体"/>
        <w:sz w:val="28"/>
        <w:szCs w:val="28"/>
      </w:rPr>
      <w:fldChar w:fldCharType="separate"/>
    </w:r>
    <w:r>
      <w:rPr>
        <w:rStyle w:val="4"/>
        <w:rFonts w:ascii="宋体" w:hAnsi="宋体" w:eastAsia="宋体"/>
        <w:sz w:val="28"/>
        <w:szCs w:val="28"/>
      </w:rPr>
      <w:t>6</w:t>
    </w:r>
    <w:r>
      <w:rPr>
        <w:rStyle w:val="4"/>
        <w:rFonts w:ascii="宋体" w:hAnsi="宋体" w:eastAsia="宋体"/>
        <w:sz w:val="28"/>
        <w:szCs w:val="28"/>
      </w:rPr>
      <w:fldChar w:fldCharType="end"/>
    </w:r>
    <w:r>
      <w:rPr>
        <w:rStyle w:val="4"/>
        <w:rFonts w:hint="eastAsia" w:ascii="宋体" w:hAnsi="宋体" w:eastAsia="宋体"/>
        <w:sz w:val="28"/>
        <w:szCs w:val="28"/>
      </w:rPr>
      <w:t>-</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4"/>
      </w:rPr>
    </w:pPr>
    <w:r>
      <w:rPr>
        <w:rStyle w:val="4"/>
      </w:rPr>
      <w:fldChar w:fldCharType="begin"/>
    </w:r>
    <w:r>
      <w:rPr>
        <w:rStyle w:val="4"/>
      </w:rPr>
      <w:instrText xml:space="preserve">PAGE  </w:instrText>
    </w:r>
    <w:r>
      <w:rPr>
        <w:rStyle w:val="4"/>
      </w:rPr>
      <w:fldChar w:fldCharType="end"/>
    </w:r>
  </w:p>
  <w:p>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868D1C"/>
    <w:multiLevelType w:val="singleLevel"/>
    <w:tmpl w:val="87868D1C"/>
    <w:lvl w:ilvl="0" w:tentative="0">
      <w:start w:val="1"/>
      <w:numFmt w:val="chineseCounting"/>
      <w:suff w:val="nothing"/>
      <w:lvlText w:val="（%1）"/>
      <w:lvlJc w:val="left"/>
      <w:rPr>
        <w:rFonts w:hint="eastAsia"/>
      </w:rPr>
    </w:lvl>
  </w:abstractNum>
  <w:abstractNum w:abstractNumId="1">
    <w:nsid w:val="A136F9B5"/>
    <w:multiLevelType w:val="singleLevel"/>
    <w:tmpl w:val="A136F9B5"/>
    <w:lvl w:ilvl="0" w:tentative="0">
      <w:start w:val="1"/>
      <w:numFmt w:val="chineseCounting"/>
      <w:suff w:val="nothing"/>
      <w:lvlText w:val="（%1）"/>
      <w:lvlJc w:val="left"/>
      <w:rPr>
        <w:rFonts w:hint="eastAsia"/>
      </w:rPr>
    </w:lvl>
  </w:abstractNum>
  <w:abstractNum w:abstractNumId="2">
    <w:nsid w:val="EA2D5A54"/>
    <w:multiLevelType w:val="singleLevel"/>
    <w:tmpl w:val="EA2D5A54"/>
    <w:lvl w:ilvl="0" w:tentative="0">
      <w:start w:val="2"/>
      <w:numFmt w:val="chineseCounting"/>
      <w:suff w:val="nothing"/>
      <w:lvlText w:val="%1、"/>
      <w:lvlJc w:val="left"/>
      <w:rPr>
        <w:rFonts w:hint="eastAsia"/>
      </w:rPr>
    </w:lvl>
  </w:abstractNum>
  <w:abstractNum w:abstractNumId="3">
    <w:nsid w:val="00000006"/>
    <w:multiLevelType w:val="singleLevel"/>
    <w:tmpl w:val="00000006"/>
    <w:lvl w:ilvl="0" w:tentative="0">
      <w:start w:val="1"/>
      <w:numFmt w:val="decimal"/>
      <w:suff w:val="nothing"/>
      <w:lvlText w:val="%1、"/>
      <w:lvlJc w:val="left"/>
    </w:lvl>
  </w:abstractNum>
  <w:abstractNum w:abstractNumId="4">
    <w:nsid w:val="2F2671F4"/>
    <w:multiLevelType w:val="singleLevel"/>
    <w:tmpl w:val="2F2671F4"/>
    <w:lvl w:ilvl="0" w:tentative="0">
      <w:start w:val="4"/>
      <w:numFmt w:val="chineseCounting"/>
      <w:suff w:val="nothing"/>
      <w:lvlText w:val="（%1）"/>
      <w:lvlJc w:val="left"/>
      <w:rPr>
        <w:rFonts w:hint="eastAsia"/>
      </w:rPr>
    </w:lvl>
  </w:abstractNum>
  <w:abstractNum w:abstractNumId="5">
    <w:nsid w:val="41EDEA68"/>
    <w:multiLevelType w:val="singleLevel"/>
    <w:tmpl w:val="41EDEA68"/>
    <w:lvl w:ilvl="0" w:tentative="0">
      <w:start w:val="1"/>
      <w:numFmt w:val="chineseCounting"/>
      <w:suff w:val="nothing"/>
      <w:lvlText w:val="（%1）"/>
      <w:lvlJc w:val="left"/>
      <w:rPr>
        <w:rFonts w:hint="eastAsia"/>
      </w:r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F97176"/>
    <w:rsid w:val="00D57504"/>
    <w:rsid w:val="04846593"/>
    <w:rsid w:val="078731E0"/>
    <w:rsid w:val="190E049C"/>
    <w:rsid w:val="2361419F"/>
    <w:rsid w:val="278B2C72"/>
    <w:rsid w:val="34173300"/>
    <w:rsid w:val="35F97176"/>
    <w:rsid w:val="38B6390D"/>
    <w:rsid w:val="40A36D94"/>
    <w:rsid w:val="47563BDF"/>
    <w:rsid w:val="4A1A1221"/>
    <w:rsid w:val="4D2F2EB3"/>
    <w:rsid w:val="50726E70"/>
    <w:rsid w:val="53E36C84"/>
    <w:rsid w:val="5D445A5A"/>
    <w:rsid w:val="5EC360C9"/>
    <w:rsid w:val="66293C38"/>
    <w:rsid w:val="6E7D4BC6"/>
    <w:rsid w:val="725C1E00"/>
    <w:rsid w:val="7622427F"/>
    <w:rsid w:val="7B7E3E73"/>
    <w:rsid w:val="7E5837E7"/>
    <w:rsid w:val="7E667EFA"/>
    <w:rsid w:val="7EDE2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styleId="4">
    <w:name w:val="page number"/>
    <w:basedOn w:val="3"/>
    <w:semiHidden/>
    <w:unhideWhenUsed/>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2020-04-08T02:25:00Z</dcterms:created>
  <dc:creator>Administrator</dc:creator>
  <cp:lastModifiedBy>Administrator</cp:lastModifiedBy>
  <dcterms:modified xsi:type="dcterms:W3CDTF">2020-04-20T09:37:25Z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